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8E4959" w:rsidRDefault="008E4959" w:rsidP="008E4959">
      <w:pPr>
        <w:jc w:val="center"/>
        <w:rPr>
          <w:rFonts w:ascii="Times New Roman" w:hAnsi="Times New Roman" w:cs="Times New Roman"/>
          <w:sz w:val="24"/>
          <w:szCs w:val="24"/>
        </w:rPr>
      </w:pPr>
    </w:p>
    <w:p w:rsidR="004B2148" w:rsidRDefault="00BE16D5" w:rsidP="008E4959">
      <w:pPr>
        <w:jc w:val="center"/>
        <w:rPr>
          <w:rFonts w:ascii="Times New Roman" w:hAnsi="Times New Roman" w:cs="Times New Roman"/>
          <w:sz w:val="24"/>
          <w:szCs w:val="24"/>
        </w:rPr>
      </w:pPr>
      <w:r w:rsidRPr="008E4959">
        <w:rPr>
          <w:rFonts w:ascii="Times New Roman" w:hAnsi="Times New Roman" w:cs="Times New Roman"/>
          <w:sz w:val="24"/>
          <w:szCs w:val="24"/>
        </w:rPr>
        <w:t>Fargo Health Group Cardiovascular Exam Projections – Abbeville Clinic</w:t>
      </w:r>
      <w:r w:rsidR="008E4959">
        <w:rPr>
          <w:rFonts w:ascii="Times New Roman" w:hAnsi="Times New Roman" w:cs="Times New Roman"/>
          <w:sz w:val="24"/>
          <w:szCs w:val="24"/>
        </w:rPr>
        <w:t>:</w:t>
      </w:r>
    </w:p>
    <w:p w:rsidR="008E4959" w:rsidRPr="008E4959" w:rsidRDefault="008E4959" w:rsidP="008E4959">
      <w:pPr>
        <w:jc w:val="center"/>
        <w:rPr>
          <w:rFonts w:ascii="Times New Roman" w:hAnsi="Times New Roman" w:cs="Times New Roman"/>
          <w:sz w:val="24"/>
          <w:szCs w:val="24"/>
        </w:rPr>
      </w:pPr>
      <w:r>
        <w:rPr>
          <w:rFonts w:ascii="Times New Roman" w:hAnsi="Times New Roman" w:cs="Times New Roman"/>
          <w:sz w:val="24"/>
          <w:szCs w:val="24"/>
        </w:rPr>
        <w:t>A Review of Past Data and Predictions for the Future</w:t>
      </w:r>
    </w:p>
    <w:p w:rsidR="00BE16D5" w:rsidRDefault="00BE16D5" w:rsidP="008E4959">
      <w:pPr>
        <w:jc w:val="center"/>
        <w:rPr>
          <w:rFonts w:ascii="Times New Roman" w:hAnsi="Times New Roman" w:cs="Times New Roman"/>
          <w:sz w:val="24"/>
          <w:szCs w:val="24"/>
        </w:rPr>
      </w:pPr>
      <w:r>
        <w:rPr>
          <w:rFonts w:ascii="Times New Roman" w:hAnsi="Times New Roman" w:cs="Times New Roman"/>
          <w:sz w:val="24"/>
          <w:szCs w:val="24"/>
        </w:rPr>
        <w:t>Deanna Schneider</w:t>
      </w:r>
    </w:p>
    <w:p w:rsidR="008E4959" w:rsidRDefault="008E4959" w:rsidP="008E4959">
      <w:pPr>
        <w:jc w:val="center"/>
        <w:rPr>
          <w:rFonts w:ascii="Times New Roman" w:hAnsi="Times New Roman" w:cs="Times New Roman"/>
          <w:sz w:val="24"/>
          <w:szCs w:val="24"/>
        </w:rPr>
      </w:pPr>
      <w:r>
        <w:rPr>
          <w:rFonts w:ascii="Times New Roman" w:hAnsi="Times New Roman" w:cs="Times New Roman"/>
          <w:sz w:val="24"/>
          <w:szCs w:val="24"/>
        </w:rPr>
        <w:t>UW-Eau Claire</w:t>
      </w:r>
    </w:p>
    <w:p w:rsidR="008E4959" w:rsidRDefault="008E4959">
      <w:pPr>
        <w:rPr>
          <w:rFonts w:ascii="Times New Roman" w:hAnsi="Times New Roman" w:cs="Times New Roman"/>
          <w:sz w:val="24"/>
          <w:szCs w:val="24"/>
        </w:rPr>
      </w:pPr>
      <w:r>
        <w:rPr>
          <w:rFonts w:ascii="Times New Roman" w:hAnsi="Times New Roman" w:cs="Times New Roman"/>
          <w:sz w:val="24"/>
          <w:szCs w:val="24"/>
        </w:rPr>
        <w:br w:type="page"/>
      </w:r>
    </w:p>
    <w:p w:rsidR="00BE16D5" w:rsidRDefault="00BE16D5" w:rsidP="0004081E">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Fargo Health Group has seen significant growth in the quantity of disability exams they are performing </w:t>
      </w:r>
      <w:r w:rsidR="00EB4305">
        <w:rPr>
          <w:rFonts w:ascii="Times New Roman" w:hAnsi="Times New Roman" w:cs="Times New Roman"/>
          <w:sz w:val="24"/>
          <w:szCs w:val="24"/>
        </w:rPr>
        <w:t>throughout their health care network</w:t>
      </w:r>
      <w:r>
        <w:rPr>
          <w:rFonts w:ascii="Times New Roman" w:hAnsi="Times New Roman" w:cs="Times New Roman"/>
          <w:sz w:val="24"/>
          <w:szCs w:val="24"/>
        </w:rPr>
        <w:t>. Disability exams require a tight turnaround, with both monetary and reputation consequences if exams are not completed and reported on in time. It’s imperative that Fargo Health Group be able to accurately predict the number of exams they will need to process, so that they can have the appropriate staff on hand</w:t>
      </w:r>
      <w:r w:rsidR="00211E0C">
        <w:rPr>
          <w:rFonts w:ascii="Times New Roman" w:hAnsi="Times New Roman" w:cs="Times New Roman"/>
          <w:sz w:val="24"/>
          <w:szCs w:val="24"/>
        </w:rPr>
        <w:t xml:space="preserve"> to meet exam need</w:t>
      </w:r>
      <w:r>
        <w:rPr>
          <w:rFonts w:ascii="Times New Roman" w:hAnsi="Times New Roman" w:cs="Times New Roman"/>
          <w:sz w:val="24"/>
          <w:szCs w:val="24"/>
        </w:rPr>
        <w:t>.</w:t>
      </w:r>
      <w:r w:rsidR="0004081E">
        <w:rPr>
          <w:rFonts w:ascii="Times New Roman" w:hAnsi="Times New Roman" w:cs="Times New Roman"/>
          <w:sz w:val="24"/>
          <w:szCs w:val="24"/>
        </w:rPr>
        <w:t xml:space="preserve"> Predictive analytics can be employed to give Fargo Health Group the information they </w:t>
      </w:r>
      <w:r w:rsidR="00211E0C">
        <w:rPr>
          <w:rFonts w:ascii="Times New Roman" w:hAnsi="Times New Roman" w:cs="Times New Roman"/>
          <w:sz w:val="24"/>
          <w:szCs w:val="24"/>
        </w:rPr>
        <w:t>require</w:t>
      </w:r>
      <w:r w:rsidR="0004081E">
        <w:rPr>
          <w:rFonts w:ascii="Times New Roman" w:hAnsi="Times New Roman" w:cs="Times New Roman"/>
          <w:sz w:val="24"/>
          <w:szCs w:val="24"/>
        </w:rPr>
        <w:t xml:space="preserve"> to staff their health clinics and meet the growing demand.</w:t>
      </w:r>
    </w:p>
    <w:p w:rsidR="00BE16D5" w:rsidRDefault="0004081E" w:rsidP="0004081E">
      <w:pPr>
        <w:ind w:firstLine="720"/>
        <w:rPr>
          <w:rFonts w:ascii="Times New Roman" w:hAnsi="Times New Roman" w:cs="Times New Roman"/>
          <w:sz w:val="24"/>
          <w:szCs w:val="24"/>
        </w:rPr>
      </w:pPr>
      <w:r>
        <w:rPr>
          <w:rFonts w:ascii="Times New Roman" w:hAnsi="Times New Roman" w:cs="Times New Roman"/>
          <w:sz w:val="24"/>
          <w:szCs w:val="24"/>
        </w:rPr>
        <w:t xml:space="preserve">For the pilot project, Fargo would like to focus on the Abbeville clinic, and has provided historical data of </w:t>
      </w:r>
      <w:r w:rsidR="00E520B6">
        <w:rPr>
          <w:rFonts w:ascii="Times New Roman" w:hAnsi="Times New Roman" w:cs="Times New Roman"/>
          <w:sz w:val="24"/>
          <w:szCs w:val="24"/>
        </w:rPr>
        <w:t xml:space="preserve">monthly </w:t>
      </w:r>
      <w:r>
        <w:rPr>
          <w:rFonts w:ascii="Times New Roman" w:hAnsi="Times New Roman" w:cs="Times New Roman"/>
          <w:sz w:val="24"/>
          <w:szCs w:val="24"/>
        </w:rPr>
        <w:t xml:space="preserve">exam demand. A spreadsheet was provided in which the majority of the data was already aggregated. However, there were several months for which data was spread across several worksheets. Time series projections </w:t>
      </w:r>
      <w:r w:rsidR="00EB4305">
        <w:rPr>
          <w:rFonts w:ascii="Times New Roman" w:hAnsi="Times New Roman" w:cs="Times New Roman"/>
          <w:sz w:val="24"/>
          <w:szCs w:val="24"/>
        </w:rPr>
        <w:t>require a single dataset that represents observations recorded at regular intervals (</w:t>
      </w:r>
      <w:proofErr w:type="spellStart"/>
      <w:r w:rsidR="00EB4305">
        <w:rPr>
          <w:rFonts w:ascii="Times New Roman" w:hAnsi="Times New Roman" w:cs="Times New Roman"/>
          <w:sz w:val="24"/>
          <w:szCs w:val="24"/>
        </w:rPr>
        <w:t>Kabacoff</w:t>
      </w:r>
      <w:proofErr w:type="spellEnd"/>
      <w:r w:rsidR="00EB4305">
        <w:rPr>
          <w:rFonts w:ascii="Times New Roman" w:hAnsi="Times New Roman" w:cs="Times New Roman"/>
          <w:sz w:val="24"/>
          <w:szCs w:val="24"/>
        </w:rPr>
        <w:t xml:space="preserve">, 2015). Therefore, in order to use the provided data it needed to be cleaned and combined into a single complete dataset. </w:t>
      </w:r>
      <w:r w:rsidR="00A4180B">
        <w:rPr>
          <w:rFonts w:ascii="Times New Roman" w:hAnsi="Times New Roman" w:cs="Times New Roman"/>
          <w:sz w:val="24"/>
          <w:szCs w:val="24"/>
        </w:rPr>
        <w:t>I cleaned the data using the following steps.</w:t>
      </w:r>
    </w:p>
    <w:p w:rsidR="00D117C9" w:rsidRPr="00D117C9" w:rsidRDefault="00D117C9" w:rsidP="00D117C9">
      <w:pPr>
        <w:jc w:val="center"/>
        <w:rPr>
          <w:rFonts w:ascii="Times New Roman" w:hAnsi="Times New Roman" w:cs="Times New Roman"/>
          <w:b/>
          <w:sz w:val="24"/>
          <w:szCs w:val="24"/>
        </w:rPr>
      </w:pPr>
      <w:r w:rsidRPr="00D117C9">
        <w:rPr>
          <w:rFonts w:ascii="Times New Roman" w:hAnsi="Times New Roman" w:cs="Times New Roman"/>
          <w:b/>
          <w:sz w:val="24"/>
          <w:szCs w:val="24"/>
        </w:rPr>
        <w:t>Data Cleaning</w:t>
      </w:r>
    </w:p>
    <w:p w:rsidR="00EB4305" w:rsidRDefault="00A4180B" w:rsidP="00A4180B">
      <w:pPr>
        <w:rPr>
          <w:rFonts w:ascii="Times New Roman" w:hAnsi="Times New Roman" w:cs="Times New Roman"/>
          <w:sz w:val="24"/>
          <w:szCs w:val="24"/>
        </w:rPr>
      </w:pPr>
      <w:r>
        <w:rPr>
          <w:rFonts w:ascii="Times New Roman" w:hAnsi="Times New Roman" w:cs="Times New Roman"/>
          <w:sz w:val="24"/>
          <w:szCs w:val="24"/>
        </w:rPr>
        <w:tab/>
      </w:r>
      <w:r w:rsidR="00EB4305" w:rsidRPr="00A4180B">
        <w:rPr>
          <w:rFonts w:ascii="Times New Roman" w:hAnsi="Times New Roman" w:cs="Times New Roman"/>
          <w:sz w:val="24"/>
          <w:szCs w:val="24"/>
        </w:rPr>
        <w:t>The May, 2007 data</w:t>
      </w:r>
      <w:r w:rsidR="00512103">
        <w:rPr>
          <w:rFonts w:ascii="Times New Roman" w:hAnsi="Times New Roman" w:cs="Times New Roman"/>
          <w:sz w:val="24"/>
          <w:szCs w:val="24"/>
        </w:rPr>
        <w:t xml:space="preserve"> and May-July, 2013</w:t>
      </w:r>
      <w:r w:rsidR="00EB4305" w:rsidRPr="00A4180B">
        <w:rPr>
          <w:rFonts w:ascii="Times New Roman" w:hAnsi="Times New Roman" w:cs="Times New Roman"/>
          <w:sz w:val="24"/>
          <w:szCs w:val="24"/>
        </w:rPr>
        <w:t xml:space="preserve"> </w:t>
      </w:r>
      <w:r w:rsidR="00512103">
        <w:rPr>
          <w:rFonts w:ascii="Times New Roman" w:hAnsi="Times New Roman" w:cs="Times New Roman"/>
          <w:sz w:val="24"/>
          <w:szCs w:val="24"/>
        </w:rPr>
        <w:t xml:space="preserve">data </w:t>
      </w:r>
      <w:r w:rsidR="00EB4305" w:rsidRPr="00A4180B">
        <w:rPr>
          <w:rFonts w:ascii="Times New Roman" w:hAnsi="Times New Roman" w:cs="Times New Roman"/>
          <w:sz w:val="24"/>
          <w:szCs w:val="24"/>
        </w:rPr>
        <w:t xml:space="preserve">was spread across several sheets and had inconsistent date formatting. </w:t>
      </w:r>
      <w:r w:rsidR="00211E0C">
        <w:rPr>
          <w:rFonts w:ascii="Times New Roman" w:hAnsi="Times New Roman" w:cs="Times New Roman"/>
          <w:sz w:val="24"/>
          <w:szCs w:val="24"/>
        </w:rPr>
        <w:t>The four sheets containing this data</w:t>
      </w:r>
      <w:r w:rsidR="00211E0C" w:rsidRPr="00A4180B">
        <w:rPr>
          <w:rFonts w:ascii="Times New Roman" w:hAnsi="Times New Roman" w:cs="Times New Roman"/>
          <w:sz w:val="24"/>
          <w:szCs w:val="24"/>
        </w:rPr>
        <w:t xml:space="preserve"> were combined into a single sheet</w:t>
      </w:r>
      <w:r w:rsidR="00211E0C">
        <w:rPr>
          <w:rFonts w:ascii="Times New Roman" w:hAnsi="Times New Roman" w:cs="Times New Roman"/>
          <w:sz w:val="24"/>
          <w:szCs w:val="24"/>
        </w:rPr>
        <w:t xml:space="preserve"> (May-2007)</w:t>
      </w:r>
      <w:r w:rsidR="00211E0C" w:rsidRPr="00A4180B">
        <w:rPr>
          <w:rFonts w:ascii="Times New Roman" w:hAnsi="Times New Roman" w:cs="Times New Roman"/>
          <w:sz w:val="24"/>
          <w:szCs w:val="24"/>
        </w:rPr>
        <w:t>. When the data w</w:t>
      </w:r>
      <w:r w:rsidR="00F64A0C">
        <w:rPr>
          <w:rFonts w:ascii="Times New Roman" w:hAnsi="Times New Roman" w:cs="Times New Roman"/>
          <w:sz w:val="24"/>
          <w:szCs w:val="24"/>
        </w:rPr>
        <w:t>as combined, it became clear that</w:t>
      </w:r>
      <w:r w:rsidR="00211E0C" w:rsidRPr="00A4180B">
        <w:rPr>
          <w:rFonts w:ascii="Times New Roman" w:hAnsi="Times New Roman" w:cs="Times New Roman"/>
          <w:sz w:val="24"/>
          <w:szCs w:val="24"/>
        </w:rPr>
        <w:t xml:space="preserve"> duplicates were present in the data. (Request ID should be a unique field, but multiple rows shared the same Request ID.) </w:t>
      </w:r>
      <w:r w:rsidR="00211E0C">
        <w:rPr>
          <w:rFonts w:ascii="Times New Roman" w:hAnsi="Times New Roman" w:cs="Times New Roman"/>
          <w:sz w:val="24"/>
          <w:szCs w:val="24"/>
        </w:rPr>
        <w:t>I used conditional formatting to highlight the duplicate Request IDs and a flag column to ensure that only 1 of each Request ID was marked as non-duplicative</w:t>
      </w:r>
      <w:r w:rsidR="00211E0C" w:rsidRPr="00A4180B">
        <w:rPr>
          <w:rFonts w:ascii="Times New Roman" w:hAnsi="Times New Roman" w:cs="Times New Roman"/>
          <w:sz w:val="24"/>
          <w:szCs w:val="24"/>
        </w:rPr>
        <w:t>.</w:t>
      </w:r>
      <w:r w:rsidR="00211E0C">
        <w:rPr>
          <w:rFonts w:ascii="Times New Roman" w:hAnsi="Times New Roman" w:cs="Times New Roman"/>
          <w:sz w:val="24"/>
          <w:szCs w:val="24"/>
        </w:rPr>
        <w:t xml:space="preserve"> </w:t>
      </w:r>
      <w:r w:rsidR="00EB4305" w:rsidRPr="00A4180B">
        <w:rPr>
          <w:rFonts w:ascii="Times New Roman" w:hAnsi="Times New Roman" w:cs="Times New Roman"/>
          <w:sz w:val="24"/>
          <w:szCs w:val="24"/>
        </w:rPr>
        <w:t xml:space="preserve">The dates were all adjusted by hand to follow standard date formatting. </w:t>
      </w:r>
      <w:r w:rsidR="00211E0C">
        <w:rPr>
          <w:rFonts w:ascii="Times New Roman" w:hAnsi="Times New Roman" w:cs="Times New Roman"/>
          <w:sz w:val="24"/>
          <w:szCs w:val="24"/>
        </w:rPr>
        <w:t xml:space="preserve">The month and year were extracted from the date. </w:t>
      </w:r>
      <w:r w:rsidR="00D117C9">
        <w:rPr>
          <w:rFonts w:ascii="Times New Roman" w:hAnsi="Times New Roman" w:cs="Times New Roman"/>
          <w:sz w:val="24"/>
          <w:szCs w:val="24"/>
        </w:rPr>
        <w:t>I created pivot tables for each of the months in question</w:t>
      </w:r>
      <w:r w:rsidR="00512103">
        <w:rPr>
          <w:rFonts w:ascii="Times New Roman" w:hAnsi="Times New Roman" w:cs="Times New Roman"/>
          <w:sz w:val="24"/>
          <w:szCs w:val="24"/>
        </w:rPr>
        <w:t xml:space="preserve">. The pivot tables summed the number of exams based on the month and year in question, the original hospital location (Abbeville), the non-duplicate identifier, and the exam type. Only heart-related conditions are in question, but I was not provided with a comprehensive list of exam types that related to cardiovascular conditions. I determined that the following exam types would be considered heart-related: angina, aortic valve stenosis, arrhythmia, CAD, cardiac, cardiovascular, chest pain, </w:t>
      </w:r>
      <w:proofErr w:type="spellStart"/>
      <w:r w:rsidR="00512103">
        <w:rPr>
          <w:rFonts w:ascii="Times New Roman" w:hAnsi="Times New Roman" w:cs="Times New Roman"/>
          <w:sz w:val="24"/>
          <w:szCs w:val="24"/>
        </w:rPr>
        <w:t>cor</w:t>
      </w:r>
      <w:proofErr w:type="spellEnd"/>
      <w:r w:rsidR="00512103">
        <w:rPr>
          <w:rFonts w:ascii="Times New Roman" w:hAnsi="Times New Roman" w:cs="Times New Roman"/>
          <w:sz w:val="24"/>
          <w:szCs w:val="24"/>
        </w:rPr>
        <w:t xml:space="preserve"> </w:t>
      </w:r>
      <w:proofErr w:type="spellStart"/>
      <w:r w:rsidR="00512103">
        <w:rPr>
          <w:rFonts w:ascii="Times New Roman" w:hAnsi="Times New Roman" w:cs="Times New Roman"/>
          <w:sz w:val="24"/>
          <w:szCs w:val="24"/>
        </w:rPr>
        <w:t>pulmonale</w:t>
      </w:r>
      <w:proofErr w:type="spellEnd"/>
      <w:r w:rsidR="00512103">
        <w:rPr>
          <w:rFonts w:ascii="Times New Roman" w:hAnsi="Times New Roman" w:cs="Times New Roman"/>
          <w:sz w:val="24"/>
          <w:szCs w:val="24"/>
        </w:rPr>
        <w:t xml:space="preserve">, coronary artery disease (CAD), endocarditis, heart, heart palpitations, ischemic heart disease, myocardial infraction, myocardial ischemia, myocarditis, premature ventricular contraction, stress test, ventricular septal defect (VSD), and VSD. </w:t>
      </w:r>
      <w:r w:rsidR="00D117C9">
        <w:rPr>
          <w:rFonts w:ascii="Times New Roman" w:hAnsi="Times New Roman" w:cs="Times New Roman"/>
          <w:sz w:val="24"/>
          <w:szCs w:val="24"/>
        </w:rPr>
        <w:t>I combined the</w:t>
      </w:r>
      <w:r w:rsidR="00512103">
        <w:rPr>
          <w:rFonts w:ascii="Times New Roman" w:hAnsi="Times New Roman" w:cs="Times New Roman"/>
          <w:sz w:val="24"/>
          <w:szCs w:val="24"/>
        </w:rPr>
        <w:t xml:space="preserve"> summed data with the existing information in the Abbeville, LA spreadsheet.</w:t>
      </w:r>
    </w:p>
    <w:p w:rsidR="00512103" w:rsidRDefault="00512103" w:rsidP="00A4180B">
      <w:pPr>
        <w:rPr>
          <w:rFonts w:ascii="Times New Roman" w:hAnsi="Times New Roman" w:cs="Times New Roman"/>
          <w:sz w:val="24"/>
          <w:szCs w:val="24"/>
        </w:rPr>
      </w:pPr>
      <w:r>
        <w:rPr>
          <w:rFonts w:ascii="Times New Roman" w:hAnsi="Times New Roman" w:cs="Times New Roman"/>
          <w:sz w:val="24"/>
          <w:szCs w:val="24"/>
        </w:rPr>
        <w:tab/>
        <w:t xml:space="preserve">The December, 2013 data was provided as individual records in a separate spreadsheet. </w:t>
      </w:r>
      <w:r w:rsidR="008702DA">
        <w:rPr>
          <w:rFonts w:ascii="Times New Roman" w:hAnsi="Times New Roman" w:cs="Times New Roman"/>
          <w:sz w:val="24"/>
          <w:szCs w:val="24"/>
        </w:rPr>
        <w:t xml:space="preserve">The documentation indicated </w:t>
      </w:r>
      <w:r w:rsidR="00D117C9">
        <w:rPr>
          <w:rFonts w:ascii="Times New Roman" w:hAnsi="Times New Roman" w:cs="Times New Roman"/>
          <w:sz w:val="24"/>
          <w:szCs w:val="24"/>
        </w:rPr>
        <w:t xml:space="preserve">that </w:t>
      </w:r>
      <w:r w:rsidR="008702DA">
        <w:rPr>
          <w:rFonts w:ascii="Times New Roman" w:hAnsi="Times New Roman" w:cs="Times New Roman"/>
          <w:sz w:val="24"/>
          <w:szCs w:val="24"/>
        </w:rPr>
        <w:t>the Routing SYSID is a compound key, containing information about the routing hospital and the condition code. I broke the Routing</w:t>
      </w:r>
      <w:r w:rsidR="00211E0C">
        <w:rPr>
          <w:rFonts w:ascii="Times New Roman" w:hAnsi="Times New Roman" w:cs="Times New Roman"/>
          <w:sz w:val="24"/>
          <w:szCs w:val="24"/>
        </w:rPr>
        <w:t xml:space="preserve"> SYSID into its component parts</w:t>
      </w:r>
      <w:r w:rsidR="008702DA">
        <w:rPr>
          <w:rFonts w:ascii="Times New Roman" w:hAnsi="Times New Roman" w:cs="Times New Roman"/>
          <w:sz w:val="24"/>
          <w:szCs w:val="24"/>
        </w:rPr>
        <w:t xml:space="preserve"> and created flags to identify rows of data that were relevant to this study. I made the assumption that the Routing SYSID is a unique identifier and flagged those rows that were duplicates. I summed the rows that met all the conditions (not a duplicate, came from Abbeville, related to heart conditions). </w:t>
      </w:r>
      <w:r w:rsidR="00D117C9">
        <w:rPr>
          <w:rFonts w:ascii="Times New Roman" w:hAnsi="Times New Roman" w:cs="Times New Roman"/>
          <w:sz w:val="24"/>
          <w:szCs w:val="24"/>
        </w:rPr>
        <w:t>The final sum was added to the Abbeville, LA spreadsheet.</w:t>
      </w:r>
    </w:p>
    <w:p w:rsidR="008702DA" w:rsidRDefault="008702DA" w:rsidP="00A4180B">
      <w:pPr>
        <w:rPr>
          <w:rFonts w:ascii="Times New Roman" w:hAnsi="Times New Roman" w:cs="Times New Roman"/>
          <w:sz w:val="24"/>
          <w:szCs w:val="24"/>
        </w:rPr>
      </w:pPr>
      <w:r>
        <w:rPr>
          <w:rFonts w:ascii="Times New Roman" w:hAnsi="Times New Roman" w:cs="Times New Roman"/>
          <w:sz w:val="24"/>
          <w:szCs w:val="24"/>
        </w:rPr>
        <w:lastRenderedPageBreak/>
        <w:tab/>
        <w:t xml:space="preserve">Several other rows in the aggregate worksheet had data inconsistent with an exam count. March and June of 2006, May of 2009 and June of 2010 each had string characters in the exam count column. These values were converted to nulls. There were two outliers which clearly seemed to be data entry errors. I assumed as much and set December 2008 and January 2011 to null. There were two legitimate outliers in the data – October of 2008 and December of 2011. October of </w:t>
      </w:r>
      <w:r w:rsidR="00D117C9">
        <w:rPr>
          <w:rFonts w:ascii="Times New Roman" w:hAnsi="Times New Roman" w:cs="Times New Roman"/>
          <w:sz w:val="24"/>
          <w:szCs w:val="24"/>
        </w:rPr>
        <w:t>2008 had a high number of exams</w:t>
      </w:r>
      <w:r>
        <w:rPr>
          <w:rFonts w:ascii="Times New Roman" w:hAnsi="Times New Roman" w:cs="Times New Roman"/>
          <w:sz w:val="24"/>
          <w:szCs w:val="24"/>
        </w:rPr>
        <w:t xml:space="preserve"> due to a hurricane closing nearby facilities. Louisiana is prone to hurricanes, and therefore, this outlier was left in the dataset to represent the types of anomalies that might actually occur. The December 2008 data point was set to null, under the assumption that the clinic is not typically closed for the holidays. (It was not closed for any other year.) It is more logical to impute data for this outlier data point than to leave it at zero.</w:t>
      </w:r>
    </w:p>
    <w:p w:rsidR="00211E0C" w:rsidRDefault="00572DC8" w:rsidP="00A4180B">
      <w:pPr>
        <w:rPr>
          <w:rFonts w:ascii="Times New Roman" w:hAnsi="Times New Roman" w:cs="Times New Roman"/>
          <w:sz w:val="24"/>
          <w:szCs w:val="24"/>
        </w:rPr>
      </w:pPr>
      <w:r>
        <w:rPr>
          <w:rFonts w:ascii="Times New Roman" w:hAnsi="Times New Roman" w:cs="Times New Roman"/>
          <w:sz w:val="24"/>
          <w:szCs w:val="24"/>
        </w:rPr>
        <w:tab/>
        <w:t>For December, 2009 through February, 2010 Fargo reported an aggregate number, but there’s no valid mathematical way to break that number down across the three months. Simply dividing the data by 3 introduces a false damping effect (</w:t>
      </w:r>
      <w:proofErr w:type="spellStart"/>
      <w:r>
        <w:rPr>
          <w:rFonts w:ascii="Times New Roman" w:hAnsi="Times New Roman" w:cs="Times New Roman"/>
          <w:sz w:val="24"/>
          <w:szCs w:val="24"/>
        </w:rPr>
        <w:t>Kabacoff</w:t>
      </w:r>
      <w:proofErr w:type="spellEnd"/>
      <w:r>
        <w:rPr>
          <w:rFonts w:ascii="Times New Roman" w:hAnsi="Times New Roman" w:cs="Times New Roman"/>
          <w:sz w:val="24"/>
          <w:szCs w:val="24"/>
        </w:rPr>
        <w:t>, 2015). Additionally, there are multiple missing data points for those three months in other years, making it difficult, if not impossible, to identify any ratio by which to divide the data. It is better to use a modern imputation method to fill those three months.</w:t>
      </w:r>
      <w:r w:rsidR="00211E0C">
        <w:rPr>
          <w:rFonts w:ascii="Times New Roman" w:hAnsi="Times New Roman" w:cs="Times New Roman"/>
          <w:sz w:val="24"/>
          <w:szCs w:val="24"/>
        </w:rPr>
        <w:t xml:space="preserve"> </w:t>
      </w:r>
      <w:r>
        <w:rPr>
          <w:rFonts w:ascii="Times New Roman" w:hAnsi="Times New Roman" w:cs="Times New Roman"/>
          <w:sz w:val="24"/>
          <w:szCs w:val="24"/>
        </w:rPr>
        <w:t xml:space="preserve">All of the above logical decisions were based on the information in Chapter 18: Advanced Methods for Missing Data in </w:t>
      </w:r>
      <w:r w:rsidRPr="00572DC8">
        <w:rPr>
          <w:rFonts w:ascii="Times New Roman" w:hAnsi="Times New Roman" w:cs="Times New Roman"/>
          <w:i/>
          <w:sz w:val="24"/>
          <w:szCs w:val="24"/>
        </w:rPr>
        <w:t>R in Action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Kabacoff</w:t>
      </w:r>
      <w:proofErr w:type="spellEnd"/>
      <w:r>
        <w:rPr>
          <w:rFonts w:ascii="Times New Roman" w:hAnsi="Times New Roman" w:cs="Times New Roman"/>
          <w:sz w:val="24"/>
          <w:szCs w:val="24"/>
        </w:rPr>
        <w:t xml:space="preserve">, 2015). </w:t>
      </w:r>
    </w:p>
    <w:p w:rsidR="00572DC8" w:rsidRDefault="00572DC8" w:rsidP="00211E0C">
      <w:pPr>
        <w:ind w:firstLine="720"/>
        <w:rPr>
          <w:rFonts w:ascii="Times New Roman" w:hAnsi="Times New Roman" w:cs="Times New Roman"/>
          <w:sz w:val="24"/>
          <w:szCs w:val="24"/>
        </w:rPr>
      </w:pPr>
      <w:r>
        <w:rPr>
          <w:rFonts w:ascii="Times New Roman" w:hAnsi="Times New Roman" w:cs="Times New Roman"/>
          <w:sz w:val="24"/>
          <w:szCs w:val="24"/>
        </w:rPr>
        <w:t>After completing the above methods, the data set was missing 10% of its values. Those values were imputed using the Amelia package</w:t>
      </w:r>
      <w:r w:rsidR="00D46E3D">
        <w:rPr>
          <w:rFonts w:ascii="Times New Roman" w:hAnsi="Times New Roman" w:cs="Times New Roman"/>
          <w:sz w:val="24"/>
          <w:szCs w:val="24"/>
        </w:rPr>
        <w:t xml:space="preserve"> (Honaker</w:t>
      </w:r>
      <w:r w:rsidR="008E2A0D">
        <w:rPr>
          <w:rFonts w:ascii="Times New Roman" w:hAnsi="Times New Roman" w:cs="Times New Roman"/>
          <w:sz w:val="24"/>
          <w:szCs w:val="24"/>
        </w:rPr>
        <w:t xml:space="preserve"> &amp; King</w:t>
      </w:r>
      <w:r w:rsidR="00D46E3D">
        <w:rPr>
          <w:rFonts w:ascii="Times New Roman" w:hAnsi="Times New Roman" w:cs="Times New Roman"/>
          <w:sz w:val="24"/>
          <w:szCs w:val="24"/>
        </w:rPr>
        <w:t>, 2016)</w:t>
      </w:r>
      <w:r>
        <w:rPr>
          <w:rFonts w:ascii="Times New Roman" w:hAnsi="Times New Roman" w:cs="Times New Roman"/>
          <w:sz w:val="24"/>
          <w:szCs w:val="24"/>
        </w:rPr>
        <w:t>.</w:t>
      </w:r>
      <w:r w:rsidR="00D46E3D">
        <w:rPr>
          <w:rFonts w:ascii="Times New Roman" w:hAnsi="Times New Roman" w:cs="Times New Roman"/>
          <w:sz w:val="24"/>
          <w:szCs w:val="24"/>
        </w:rPr>
        <w:t xml:space="preserve"> Bounds were set on the exam counts column such that they should always be positive numbers. </w:t>
      </w:r>
      <w:r w:rsidR="00211E0C">
        <w:rPr>
          <w:rFonts w:ascii="Times New Roman" w:hAnsi="Times New Roman" w:cs="Times New Roman"/>
          <w:sz w:val="24"/>
          <w:szCs w:val="24"/>
        </w:rPr>
        <w:t>I attempted to use Amelia’s priors to incorporate the aggregate amount for December, 2009-February, 2010 and the</w:t>
      </w:r>
      <w:r w:rsidR="00F64A0C">
        <w:rPr>
          <w:rFonts w:ascii="Times New Roman" w:hAnsi="Times New Roman" w:cs="Times New Roman"/>
          <w:sz w:val="24"/>
          <w:szCs w:val="24"/>
        </w:rPr>
        <w:t xml:space="preserve"> standard deviations seen in those</w:t>
      </w:r>
      <w:r w:rsidR="00211E0C">
        <w:rPr>
          <w:rFonts w:ascii="Times New Roman" w:hAnsi="Times New Roman" w:cs="Times New Roman"/>
          <w:sz w:val="24"/>
          <w:szCs w:val="24"/>
        </w:rPr>
        <w:t xml:space="preserve"> three months in other years. But, the resulting dataset took longer to converge, varied more from the non-imputed distribution, and had more visual variance when over-imputed (Honaker</w:t>
      </w:r>
      <w:r w:rsidR="008E2A0D">
        <w:rPr>
          <w:rFonts w:ascii="Times New Roman" w:hAnsi="Times New Roman" w:cs="Times New Roman"/>
          <w:sz w:val="24"/>
          <w:szCs w:val="24"/>
        </w:rPr>
        <w:t xml:space="preserve"> &amp; King</w:t>
      </w:r>
      <w:r w:rsidR="00211E0C">
        <w:rPr>
          <w:rFonts w:ascii="Times New Roman" w:hAnsi="Times New Roman" w:cs="Times New Roman"/>
          <w:sz w:val="24"/>
          <w:szCs w:val="24"/>
        </w:rPr>
        <w:t>, 2016)</w:t>
      </w:r>
      <w:r w:rsidR="006A7961">
        <w:rPr>
          <w:rFonts w:ascii="Times New Roman" w:hAnsi="Times New Roman" w:cs="Times New Roman"/>
          <w:sz w:val="24"/>
          <w:szCs w:val="24"/>
        </w:rPr>
        <w:t xml:space="preserve">. I proceeded with Amelia’s imputations with bounds only. </w:t>
      </w:r>
      <w:r w:rsidR="00D46E3D">
        <w:rPr>
          <w:rFonts w:ascii="Times New Roman" w:hAnsi="Times New Roman" w:cs="Times New Roman"/>
          <w:sz w:val="24"/>
          <w:szCs w:val="24"/>
        </w:rPr>
        <w:t>The Amelia function generated five distinct complete datasets. I combined the five back into one by averaging the Amelia data, resulting in a single complete dataset to use for predictions.</w:t>
      </w:r>
    </w:p>
    <w:p w:rsidR="00D117C9" w:rsidRPr="00D117C9" w:rsidRDefault="00D117C9" w:rsidP="00D117C9">
      <w:pPr>
        <w:jc w:val="center"/>
        <w:rPr>
          <w:rFonts w:ascii="Times New Roman" w:hAnsi="Times New Roman" w:cs="Times New Roman"/>
          <w:b/>
          <w:sz w:val="24"/>
          <w:szCs w:val="24"/>
        </w:rPr>
      </w:pPr>
      <w:r w:rsidRPr="00D117C9">
        <w:rPr>
          <w:rFonts w:ascii="Times New Roman" w:hAnsi="Times New Roman" w:cs="Times New Roman"/>
          <w:b/>
          <w:sz w:val="24"/>
          <w:szCs w:val="24"/>
        </w:rPr>
        <w:t>Methods</w:t>
      </w:r>
    </w:p>
    <w:p w:rsidR="004636C3" w:rsidRDefault="00D117C9" w:rsidP="004E41BD">
      <w:pPr>
        <w:ind w:firstLine="720"/>
        <w:rPr>
          <w:rFonts w:ascii="Times New Roman" w:hAnsi="Times New Roman" w:cs="Times New Roman"/>
          <w:sz w:val="24"/>
          <w:szCs w:val="24"/>
        </w:rPr>
      </w:pPr>
      <w:r>
        <w:rPr>
          <w:rFonts w:ascii="Times New Roman" w:hAnsi="Times New Roman" w:cs="Times New Roman"/>
          <w:sz w:val="24"/>
          <w:szCs w:val="24"/>
        </w:rPr>
        <w:t>Initial inspection of the historical data indicates a clear upward trend.</w:t>
      </w:r>
      <w:r w:rsidR="00F64A0C">
        <w:rPr>
          <w:rFonts w:ascii="Times New Roman" w:hAnsi="Times New Roman" w:cs="Times New Roman"/>
          <w:sz w:val="24"/>
          <w:szCs w:val="24"/>
        </w:rPr>
        <w:t xml:space="preserve"> (See Figure 1.)</w:t>
      </w:r>
      <w:r>
        <w:rPr>
          <w:rFonts w:ascii="Times New Roman" w:hAnsi="Times New Roman" w:cs="Times New Roman"/>
          <w:sz w:val="24"/>
          <w:szCs w:val="24"/>
        </w:rPr>
        <w:t xml:space="preserve"> Monthly demand </w:t>
      </w:r>
      <w:r w:rsidR="004636C3">
        <w:rPr>
          <w:rFonts w:ascii="Times New Roman" w:hAnsi="Times New Roman" w:cs="Times New Roman"/>
          <w:sz w:val="24"/>
          <w:szCs w:val="24"/>
        </w:rPr>
        <w:t>had a low point of 311 exams per month in February, 2007 and topped out a</w:t>
      </w:r>
      <w:r w:rsidR="004978C7">
        <w:rPr>
          <w:rFonts w:ascii="Times New Roman" w:hAnsi="Times New Roman" w:cs="Times New Roman"/>
          <w:sz w:val="24"/>
          <w:szCs w:val="24"/>
        </w:rPr>
        <w:t>t 6094 exams in October of 2013. Notice the hurricane outlier in 2008, and the fluctuations around the level. The fluctuations appear to be increasing with the trend, which could indicate the need for a multiplicative model (</w:t>
      </w:r>
      <w:proofErr w:type="spellStart"/>
      <w:r w:rsidR="004978C7">
        <w:rPr>
          <w:rFonts w:ascii="Times New Roman" w:hAnsi="Times New Roman" w:cs="Times New Roman"/>
          <w:sz w:val="24"/>
          <w:szCs w:val="24"/>
        </w:rPr>
        <w:t>Kabacoff</w:t>
      </w:r>
      <w:proofErr w:type="spellEnd"/>
      <w:r w:rsidR="004978C7">
        <w:rPr>
          <w:rFonts w:ascii="Times New Roman" w:hAnsi="Times New Roman" w:cs="Times New Roman"/>
          <w:sz w:val="24"/>
          <w:szCs w:val="24"/>
        </w:rPr>
        <w:t xml:space="preserve">, 2015). </w:t>
      </w:r>
      <w:r w:rsidR="004636C3">
        <w:rPr>
          <w:rFonts w:ascii="Times New Roman" w:hAnsi="Times New Roman" w:cs="Times New Roman"/>
          <w:sz w:val="24"/>
          <w:szCs w:val="24"/>
        </w:rPr>
        <w:t>The clear trend</w:t>
      </w:r>
      <w:r w:rsidR="004978C7">
        <w:rPr>
          <w:rFonts w:ascii="Times New Roman" w:hAnsi="Times New Roman" w:cs="Times New Roman"/>
          <w:sz w:val="24"/>
          <w:szCs w:val="24"/>
        </w:rPr>
        <w:t xml:space="preserve"> and the fluctuations indicate</w:t>
      </w:r>
      <w:r w:rsidR="004636C3">
        <w:rPr>
          <w:rFonts w:ascii="Times New Roman" w:hAnsi="Times New Roman" w:cs="Times New Roman"/>
          <w:sz w:val="24"/>
          <w:szCs w:val="24"/>
        </w:rPr>
        <w:t xml:space="preserve"> that simple exponential smoothing would not be a suitable approach for forecasting this data. Holt and ARIMA are both potential viable candidates for predicting data that has a trend</w:t>
      </w:r>
      <w:r w:rsidR="004978C7">
        <w:rPr>
          <w:rFonts w:ascii="Times New Roman" w:hAnsi="Times New Roman" w:cs="Times New Roman"/>
          <w:sz w:val="24"/>
          <w:szCs w:val="24"/>
        </w:rPr>
        <w:t>, seasonality, or multiplicative effects</w:t>
      </w:r>
      <w:r w:rsidR="004636C3">
        <w:rPr>
          <w:rFonts w:ascii="Times New Roman" w:hAnsi="Times New Roman" w:cs="Times New Roman"/>
          <w:sz w:val="24"/>
          <w:szCs w:val="24"/>
        </w:rPr>
        <w:t xml:space="preserve"> (</w:t>
      </w:r>
      <w:proofErr w:type="spellStart"/>
      <w:r w:rsidR="004636C3">
        <w:rPr>
          <w:rFonts w:ascii="Times New Roman" w:hAnsi="Times New Roman" w:cs="Times New Roman"/>
          <w:sz w:val="24"/>
          <w:szCs w:val="24"/>
        </w:rPr>
        <w:t>Kabacoff</w:t>
      </w:r>
      <w:proofErr w:type="spellEnd"/>
      <w:r w:rsidR="004636C3">
        <w:rPr>
          <w:rFonts w:ascii="Times New Roman" w:hAnsi="Times New Roman" w:cs="Times New Roman"/>
          <w:sz w:val="24"/>
          <w:szCs w:val="24"/>
        </w:rPr>
        <w:t xml:space="preserve">, 2015). </w:t>
      </w:r>
    </w:p>
    <w:p w:rsidR="00F64A0C" w:rsidRDefault="004E41BD" w:rsidP="00F64A0C">
      <w:pPr>
        <w:keepNext/>
        <w:jc w:val="center"/>
      </w:pPr>
      <w:r>
        <w:rPr>
          <w:rFonts w:ascii="Times New Roman" w:hAnsi="Times New Roman" w:cs="Times New Roman"/>
          <w:noProof/>
          <w:sz w:val="24"/>
          <w:szCs w:val="24"/>
        </w:rPr>
        <w:lastRenderedPageBreak/>
        <w:drawing>
          <wp:inline distT="0" distB="0" distL="0" distR="0" wp14:anchorId="74DB75E5" wp14:editId="2246D52B">
            <wp:extent cx="375818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ricaldemand.png"/>
                    <pic:cNvPicPr/>
                  </pic:nvPicPr>
                  <pic:blipFill>
                    <a:blip r:embed="rId8">
                      <a:extLst>
                        <a:ext uri="{28A0092B-C50C-407E-A947-70E740481C1C}">
                          <a14:useLocalDpi xmlns:a14="http://schemas.microsoft.com/office/drawing/2010/main" val="0"/>
                        </a:ext>
                      </a:extLst>
                    </a:blip>
                    <a:stretch>
                      <a:fillRect/>
                    </a:stretch>
                  </pic:blipFill>
                  <pic:spPr>
                    <a:xfrm>
                      <a:off x="0" y="0"/>
                      <a:ext cx="3758184" cy="2286000"/>
                    </a:xfrm>
                    <a:prstGeom prst="rect">
                      <a:avLst/>
                    </a:prstGeom>
                  </pic:spPr>
                </pic:pic>
              </a:graphicData>
            </a:graphic>
          </wp:inline>
        </w:drawing>
      </w:r>
    </w:p>
    <w:p w:rsidR="004E41BD" w:rsidRDefault="00F64A0C" w:rsidP="00F64A0C">
      <w:pPr>
        <w:pStyle w:val="Caption"/>
        <w:jc w:val="center"/>
        <w:rPr>
          <w:rFonts w:ascii="Times New Roman" w:hAnsi="Times New Roman" w:cs="Times New Roman"/>
          <w:sz w:val="24"/>
          <w:szCs w:val="24"/>
        </w:rPr>
      </w:pPr>
      <w:r>
        <w:t xml:space="preserve">Figure </w:t>
      </w:r>
      <w:fldSimple w:instr=" SEQ Figure \* ARABIC ">
        <w:r w:rsidR="00AB0C87">
          <w:rPr>
            <w:noProof/>
          </w:rPr>
          <w:t>1</w:t>
        </w:r>
      </w:fldSimple>
    </w:p>
    <w:p w:rsidR="004636C3" w:rsidRPr="004636C3" w:rsidRDefault="004636C3" w:rsidP="004E41BD">
      <w:pPr>
        <w:rPr>
          <w:rFonts w:ascii="Times New Roman" w:hAnsi="Times New Roman" w:cs="Times New Roman"/>
          <w:b/>
          <w:sz w:val="24"/>
          <w:szCs w:val="24"/>
        </w:rPr>
      </w:pPr>
      <w:r w:rsidRPr="004636C3">
        <w:rPr>
          <w:rFonts w:ascii="Times New Roman" w:hAnsi="Times New Roman" w:cs="Times New Roman"/>
          <w:b/>
          <w:sz w:val="24"/>
          <w:szCs w:val="24"/>
        </w:rPr>
        <w:t>Holt Results</w:t>
      </w:r>
    </w:p>
    <w:p w:rsidR="00A9153E" w:rsidRDefault="004636C3" w:rsidP="00A9153E">
      <w:pPr>
        <w:ind w:firstLine="720"/>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ets</w:t>
      </w:r>
      <w:proofErr w:type="spellEnd"/>
      <w:r>
        <w:rPr>
          <w:rFonts w:ascii="Times New Roman" w:hAnsi="Times New Roman" w:cs="Times New Roman"/>
          <w:sz w:val="24"/>
          <w:szCs w:val="24"/>
        </w:rPr>
        <w:t xml:space="preserve"> package in R to generate a best-fit model using either Holt or Holt-Winters</w:t>
      </w:r>
      <w:r w:rsidR="00DD6484">
        <w:rPr>
          <w:rFonts w:ascii="Times New Roman" w:hAnsi="Times New Roman" w:cs="Times New Roman"/>
          <w:sz w:val="24"/>
          <w:szCs w:val="24"/>
        </w:rPr>
        <w:t xml:space="preserve"> (</w:t>
      </w:r>
      <w:proofErr w:type="spellStart"/>
      <w:r w:rsidR="00DD6484">
        <w:rPr>
          <w:rFonts w:ascii="Times New Roman" w:hAnsi="Times New Roman" w:cs="Times New Roman"/>
          <w:sz w:val="24"/>
          <w:szCs w:val="24"/>
        </w:rPr>
        <w:t>Kabacoff</w:t>
      </w:r>
      <w:proofErr w:type="spellEnd"/>
      <w:r w:rsidR="00DD6484">
        <w:rPr>
          <w:rFonts w:ascii="Times New Roman" w:hAnsi="Times New Roman" w:cs="Times New Roman"/>
          <w:sz w:val="24"/>
          <w:szCs w:val="24"/>
        </w:rPr>
        <w:t>, 2015)</w:t>
      </w:r>
      <w:r>
        <w:rPr>
          <w:rFonts w:ascii="Times New Roman" w:hAnsi="Times New Roman" w:cs="Times New Roman"/>
          <w:sz w:val="24"/>
          <w:szCs w:val="24"/>
        </w:rPr>
        <w:t>. The model generated was a Holt mode</w:t>
      </w:r>
      <w:r w:rsidR="006A7961">
        <w:rPr>
          <w:rFonts w:ascii="Times New Roman" w:hAnsi="Times New Roman" w:cs="Times New Roman"/>
          <w:sz w:val="24"/>
          <w:szCs w:val="24"/>
        </w:rPr>
        <w:t>l (A</w:t>
      </w:r>
      <w:proofErr w:type="gramStart"/>
      <w:r w:rsidR="006A7961">
        <w:rPr>
          <w:rFonts w:ascii="Times New Roman" w:hAnsi="Times New Roman" w:cs="Times New Roman"/>
          <w:sz w:val="24"/>
          <w:szCs w:val="24"/>
        </w:rPr>
        <w:t>,A,N</w:t>
      </w:r>
      <w:proofErr w:type="gramEnd"/>
      <w:r w:rsidR="006A7961">
        <w:rPr>
          <w:rFonts w:ascii="Times New Roman" w:hAnsi="Times New Roman" w:cs="Times New Roman"/>
          <w:sz w:val="24"/>
          <w:szCs w:val="24"/>
        </w:rPr>
        <w:t>) with a level</w:t>
      </w:r>
      <w:r>
        <w:rPr>
          <w:rFonts w:ascii="Times New Roman" w:hAnsi="Times New Roman" w:cs="Times New Roman"/>
          <w:sz w:val="24"/>
          <w:szCs w:val="24"/>
        </w:rPr>
        <w:t xml:space="preserve"> </w:t>
      </w:r>
      <w:r w:rsidR="00B037FD">
        <w:rPr>
          <w:rFonts w:ascii="Times New Roman" w:hAnsi="Times New Roman" w:cs="Times New Roman"/>
          <w:sz w:val="24"/>
          <w:szCs w:val="24"/>
        </w:rPr>
        <w:t xml:space="preserve">smoothing </w:t>
      </w:r>
      <w:r>
        <w:rPr>
          <w:rFonts w:ascii="Times New Roman" w:hAnsi="Times New Roman" w:cs="Times New Roman"/>
          <w:sz w:val="24"/>
          <w:szCs w:val="24"/>
        </w:rPr>
        <w:t xml:space="preserve">constant of .1166 and a trend smoothing constant of .0202. </w:t>
      </w:r>
      <w:r w:rsidR="00DD6484">
        <w:rPr>
          <w:rFonts w:ascii="Times New Roman" w:hAnsi="Times New Roman" w:cs="Times New Roman"/>
          <w:sz w:val="24"/>
          <w:szCs w:val="24"/>
        </w:rPr>
        <w:t>Both the alpha and beta smoothing constants were closer to zero than one, indicating that data further from the present was weighted more heavily that data close to the present</w:t>
      </w:r>
      <w:r w:rsidR="00A9153E">
        <w:rPr>
          <w:rFonts w:ascii="Times New Roman" w:hAnsi="Times New Roman" w:cs="Times New Roman"/>
          <w:sz w:val="24"/>
          <w:szCs w:val="24"/>
        </w:rPr>
        <w:t xml:space="preserve"> (Foreman, 2014)</w:t>
      </w:r>
      <w:r w:rsidR="00DD6484">
        <w:rPr>
          <w:rFonts w:ascii="Times New Roman" w:hAnsi="Times New Roman" w:cs="Times New Roman"/>
          <w:sz w:val="24"/>
          <w:szCs w:val="24"/>
        </w:rPr>
        <w:t xml:space="preserve">. </w:t>
      </w:r>
      <w:r w:rsidR="00A9153E">
        <w:rPr>
          <w:rFonts w:ascii="Times New Roman" w:hAnsi="Times New Roman" w:cs="Times New Roman"/>
          <w:sz w:val="24"/>
          <w:szCs w:val="24"/>
        </w:rPr>
        <w:t>I used the model to fore</w:t>
      </w:r>
      <w:r w:rsidR="00B037FD">
        <w:rPr>
          <w:rFonts w:ascii="Times New Roman" w:hAnsi="Times New Roman" w:cs="Times New Roman"/>
          <w:sz w:val="24"/>
          <w:szCs w:val="24"/>
        </w:rPr>
        <w:t>cast out 12 additional months. Figure 2 contains a</w:t>
      </w:r>
      <w:r w:rsidR="00A9153E">
        <w:rPr>
          <w:rFonts w:ascii="Times New Roman" w:hAnsi="Times New Roman" w:cs="Times New Roman"/>
          <w:sz w:val="24"/>
          <w:szCs w:val="24"/>
        </w:rPr>
        <w:t xml:space="preserve"> plot of the final year of historical</w:t>
      </w:r>
      <w:r w:rsidR="00B037FD">
        <w:rPr>
          <w:rFonts w:ascii="Times New Roman" w:hAnsi="Times New Roman" w:cs="Times New Roman"/>
          <w:sz w:val="24"/>
          <w:szCs w:val="24"/>
        </w:rPr>
        <w:t xml:space="preserve"> data and the forecasted year.</w:t>
      </w:r>
    </w:p>
    <w:p w:rsidR="00F64A0C" w:rsidRDefault="003561E5" w:rsidP="00F64A0C">
      <w:pPr>
        <w:keepNext/>
        <w:jc w:val="center"/>
      </w:pPr>
      <w:r>
        <w:rPr>
          <w:rFonts w:ascii="Times New Roman" w:hAnsi="Times New Roman" w:cs="Times New Roman"/>
          <w:noProof/>
          <w:sz w:val="24"/>
          <w:szCs w:val="24"/>
        </w:rPr>
        <w:drawing>
          <wp:inline distT="0" distB="0" distL="0" distR="0">
            <wp:extent cx="3758184"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ltForecast.png"/>
                    <pic:cNvPicPr/>
                  </pic:nvPicPr>
                  <pic:blipFill>
                    <a:blip r:embed="rId9">
                      <a:extLst>
                        <a:ext uri="{28A0092B-C50C-407E-A947-70E740481C1C}">
                          <a14:useLocalDpi xmlns:a14="http://schemas.microsoft.com/office/drawing/2010/main" val="0"/>
                        </a:ext>
                      </a:extLst>
                    </a:blip>
                    <a:stretch>
                      <a:fillRect/>
                    </a:stretch>
                  </pic:blipFill>
                  <pic:spPr>
                    <a:xfrm>
                      <a:off x="0" y="0"/>
                      <a:ext cx="3758184" cy="2286000"/>
                    </a:xfrm>
                    <a:prstGeom prst="rect">
                      <a:avLst/>
                    </a:prstGeom>
                  </pic:spPr>
                </pic:pic>
              </a:graphicData>
            </a:graphic>
          </wp:inline>
        </w:drawing>
      </w:r>
    </w:p>
    <w:p w:rsidR="00C6089E" w:rsidRDefault="00F64A0C" w:rsidP="00F64A0C">
      <w:pPr>
        <w:pStyle w:val="Caption"/>
        <w:jc w:val="center"/>
        <w:rPr>
          <w:rFonts w:ascii="Times New Roman" w:hAnsi="Times New Roman" w:cs="Times New Roman"/>
          <w:sz w:val="24"/>
          <w:szCs w:val="24"/>
        </w:rPr>
      </w:pPr>
      <w:r>
        <w:t xml:space="preserve">Figure </w:t>
      </w:r>
      <w:fldSimple w:instr=" SEQ Figure \* ARABIC ">
        <w:r w:rsidR="00AB0C87">
          <w:rPr>
            <w:noProof/>
          </w:rPr>
          <w:t>2</w:t>
        </w:r>
      </w:fldSimple>
    </w:p>
    <w:p w:rsidR="00C6089E" w:rsidRDefault="00C6089E" w:rsidP="00C6089E">
      <w:pPr>
        <w:ind w:firstLine="720"/>
        <w:rPr>
          <w:rFonts w:ascii="Times New Roman" w:hAnsi="Times New Roman" w:cs="Times New Roman"/>
          <w:sz w:val="24"/>
          <w:szCs w:val="24"/>
        </w:rPr>
      </w:pPr>
      <w:r>
        <w:rPr>
          <w:rFonts w:ascii="Times New Roman" w:hAnsi="Times New Roman" w:cs="Times New Roman"/>
          <w:sz w:val="24"/>
          <w:szCs w:val="24"/>
        </w:rPr>
        <w:t xml:space="preserve">The plot shows that demand will continue to increase, but at a moderate rate. It may help to review the actual numbers. </w:t>
      </w:r>
      <w:r w:rsidR="00B037FD">
        <w:rPr>
          <w:rFonts w:ascii="Times New Roman" w:hAnsi="Times New Roman" w:cs="Times New Roman"/>
          <w:sz w:val="24"/>
          <w:szCs w:val="24"/>
        </w:rPr>
        <w:t>Table 1</w:t>
      </w:r>
      <w:r>
        <w:rPr>
          <w:rFonts w:ascii="Times New Roman" w:hAnsi="Times New Roman" w:cs="Times New Roman"/>
          <w:sz w:val="24"/>
          <w:szCs w:val="24"/>
        </w:rPr>
        <w:t xml:space="preserve"> shows the forecasted exam count for each of the next 12 months and the </w:t>
      </w:r>
      <w:r w:rsidR="008E2A0D">
        <w:rPr>
          <w:rFonts w:ascii="Times New Roman" w:hAnsi="Times New Roman" w:cs="Times New Roman"/>
          <w:sz w:val="24"/>
          <w:szCs w:val="24"/>
        </w:rPr>
        <w:t xml:space="preserve">80% and </w:t>
      </w:r>
      <w:r>
        <w:rPr>
          <w:rFonts w:ascii="Times New Roman" w:hAnsi="Times New Roman" w:cs="Times New Roman"/>
          <w:sz w:val="24"/>
          <w:szCs w:val="24"/>
        </w:rPr>
        <w:t>95% confidence intervals.</w:t>
      </w:r>
    </w:p>
    <w:p w:rsidR="00B037FD" w:rsidRDefault="00B037FD" w:rsidP="00C6089E">
      <w:pPr>
        <w:ind w:firstLine="720"/>
        <w:rPr>
          <w:rFonts w:ascii="Times New Roman" w:hAnsi="Times New Roman" w:cs="Times New Roman"/>
          <w:sz w:val="24"/>
          <w:szCs w:val="24"/>
        </w:rPr>
      </w:pPr>
    </w:p>
    <w:p w:rsidR="00D54BD7" w:rsidRDefault="00D54BD7" w:rsidP="00C6089E">
      <w:pPr>
        <w:ind w:firstLine="720"/>
        <w:rPr>
          <w:rFonts w:ascii="Times New Roman" w:hAnsi="Times New Roman" w:cs="Times New Roman"/>
          <w:sz w:val="24"/>
          <w:szCs w:val="24"/>
        </w:rPr>
      </w:pPr>
    </w:p>
    <w:tbl>
      <w:tblPr>
        <w:tblW w:w="6925" w:type="dxa"/>
        <w:jc w:val="center"/>
        <w:tblLook w:val="04A0" w:firstRow="1" w:lastRow="0" w:firstColumn="1" w:lastColumn="0" w:noHBand="0" w:noVBand="1"/>
      </w:tblPr>
      <w:tblGrid>
        <w:gridCol w:w="610"/>
        <w:gridCol w:w="663"/>
        <w:gridCol w:w="1440"/>
        <w:gridCol w:w="1053"/>
        <w:gridCol w:w="1053"/>
        <w:gridCol w:w="1053"/>
        <w:gridCol w:w="1053"/>
      </w:tblGrid>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Times New Roman" w:eastAsia="Times New Roman" w:hAnsi="Times New Roman" w:cs="Times New Roman"/>
                <w:sz w:val="20"/>
                <w:szCs w:val="24"/>
              </w:rPr>
            </w:pPr>
            <w:bookmarkStart w:id="0" w:name="RANGE!A1:E13"/>
            <w:bookmarkStart w:id="1" w:name="RANGE!I17:O29"/>
            <w:bookmarkEnd w:id="0"/>
            <w:bookmarkEnd w:id="1"/>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Point Forecast</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Lo 80</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Hi 80</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Lo 95</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Hi 95</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Jan</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5783.071</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5297.149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6268.994</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5039.917</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6526.226</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Feb</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5916.278</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5425.832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6406.724</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5166.205</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6666.35</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Mar</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6049.484</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5553.143</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6545.826</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5290.395</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6808.573</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Apr</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6182.69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5678.939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6686.442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5412.268</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6953.112</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May</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6315.897</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5803.097</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6828.696</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5531.638</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7100.155</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Jun</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6449.103</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5925.52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6972.686</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5648.352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7249.854</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Jul</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6582.309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6046.132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7118.487</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5762.297</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7402.322</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Aug</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6715.516</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6164.882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7266.149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5873.394</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7557.637</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Sep</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6848.722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6281.743</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7415.701</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5981.602</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7715.842</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Oct</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6981.928</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6396.708</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7567.148</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6086.911</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7876.945</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Nov</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7115.135</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6509.79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7720.479</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6189.34</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8040.929</w:t>
            </w:r>
          </w:p>
        </w:tc>
      </w:tr>
      <w:tr w:rsidR="003F466A" w:rsidRPr="00D54BD7" w:rsidTr="00B037FD">
        <w:trPr>
          <w:trHeight w:val="300"/>
          <w:jc w:val="center"/>
        </w:trPr>
        <w:tc>
          <w:tcPr>
            <w:tcW w:w="61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rPr>
                <w:rFonts w:ascii="Calibri" w:eastAsia="Times New Roman" w:hAnsi="Calibri" w:cs="Calibri"/>
                <w:color w:val="000000"/>
                <w:sz w:val="20"/>
              </w:rPr>
            </w:pPr>
            <w:r w:rsidRPr="00D54BD7">
              <w:rPr>
                <w:rFonts w:ascii="Calibri" w:eastAsia="Times New Roman" w:hAnsi="Calibri" w:cs="Calibri"/>
                <w:color w:val="000000"/>
                <w:sz w:val="20"/>
              </w:rPr>
              <w:t>Dec</w:t>
            </w:r>
          </w:p>
        </w:tc>
        <w:tc>
          <w:tcPr>
            <w:tcW w:w="66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7248.341</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6621.017</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7875.665</w:t>
            </w:r>
          </w:p>
        </w:tc>
        <w:tc>
          <w:tcPr>
            <w:tcW w:w="1053" w:type="dxa"/>
            <w:tcBorders>
              <w:top w:val="nil"/>
              <w:left w:val="nil"/>
              <w:bottom w:val="nil"/>
              <w:right w:val="nil"/>
            </w:tcBorders>
            <w:shd w:val="clear" w:color="auto" w:fill="auto"/>
            <w:noWrap/>
            <w:vAlign w:val="bottom"/>
            <w:hideMark/>
          </w:tcPr>
          <w:p w:rsidR="003F466A" w:rsidRPr="00D54BD7" w:rsidRDefault="003F466A" w:rsidP="003F466A">
            <w:pPr>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6288.931</w:t>
            </w:r>
          </w:p>
        </w:tc>
        <w:tc>
          <w:tcPr>
            <w:tcW w:w="1053" w:type="dxa"/>
            <w:tcBorders>
              <w:top w:val="nil"/>
              <w:left w:val="nil"/>
              <w:bottom w:val="nil"/>
              <w:right w:val="nil"/>
            </w:tcBorders>
            <w:shd w:val="clear" w:color="auto" w:fill="auto"/>
            <w:noWrap/>
            <w:vAlign w:val="bottom"/>
            <w:hideMark/>
          </w:tcPr>
          <w:p w:rsidR="003F466A" w:rsidRPr="00D54BD7" w:rsidRDefault="003F466A" w:rsidP="00B037FD">
            <w:pPr>
              <w:keepNext/>
              <w:spacing w:after="0" w:line="240" w:lineRule="auto"/>
              <w:jc w:val="right"/>
              <w:rPr>
                <w:rFonts w:ascii="Calibri" w:eastAsia="Times New Roman" w:hAnsi="Calibri" w:cs="Calibri"/>
                <w:color w:val="000000"/>
                <w:sz w:val="20"/>
              </w:rPr>
            </w:pPr>
            <w:r w:rsidRPr="00D54BD7">
              <w:rPr>
                <w:rFonts w:ascii="Calibri" w:eastAsia="Times New Roman" w:hAnsi="Calibri" w:cs="Calibri"/>
                <w:color w:val="000000"/>
                <w:sz w:val="20"/>
              </w:rPr>
              <w:t>8207.751</w:t>
            </w:r>
          </w:p>
        </w:tc>
      </w:tr>
    </w:tbl>
    <w:p w:rsidR="00C6089E" w:rsidRPr="00C6089E" w:rsidRDefault="00B037FD" w:rsidP="00B037FD">
      <w:pPr>
        <w:pStyle w:val="Caption"/>
        <w:jc w:val="center"/>
        <w:rPr>
          <w:rFonts w:ascii="Times New Roman" w:hAnsi="Times New Roman" w:cs="Times New Roman"/>
          <w:sz w:val="24"/>
          <w:szCs w:val="24"/>
        </w:rPr>
      </w:pPr>
      <w:r>
        <w:t xml:space="preserve">Table </w:t>
      </w:r>
      <w:fldSimple w:instr=" SEQ Table \* ARABIC ">
        <w:r>
          <w:rPr>
            <w:noProof/>
          </w:rPr>
          <w:t>1</w:t>
        </w:r>
      </w:fldSimple>
    </w:p>
    <w:p w:rsidR="00C6089E" w:rsidRPr="009855A2" w:rsidRDefault="009855A2" w:rsidP="00C6089E">
      <w:pPr>
        <w:rPr>
          <w:rFonts w:ascii="Times New Roman" w:hAnsi="Times New Roman" w:cs="Times New Roman"/>
          <w:b/>
          <w:sz w:val="24"/>
          <w:szCs w:val="24"/>
        </w:rPr>
      </w:pPr>
      <w:r w:rsidRPr="009855A2">
        <w:rPr>
          <w:rFonts w:ascii="Times New Roman" w:hAnsi="Times New Roman" w:cs="Times New Roman"/>
          <w:b/>
          <w:sz w:val="24"/>
          <w:szCs w:val="24"/>
        </w:rPr>
        <w:t>ARIMA Results</w:t>
      </w:r>
    </w:p>
    <w:p w:rsidR="007133E2" w:rsidRDefault="009855A2" w:rsidP="007133E2">
      <w:pPr>
        <w:ind w:firstLine="720"/>
        <w:rPr>
          <w:rFonts w:ascii="Times New Roman" w:hAnsi="Times New Roman" w:cs="Times New Roman"/>
          <w:sz w:val="24"/>
          <w:szCs w:val="24"/>
        </w:rPr>
      </w:pPr>
      <w:r>
        <w:rPr>
          <w:rFonts w:ascii="Times New Roman" w:hAnsi="Times New Roman" w:cs="Times New Roman"/>
          <w:sz w:val="24"/>
          <w:szCs w:val="24"/>
        </w:rPr>
        <w:t>ARIMA forecasting requires that the data meet the definition of stationary. Stationary time series have a constant mean and variance (</w:t>
      </w:r>
      <w:proofErr w:type="spellStart"/>
      <w:r>
        <w:rPr>
          <w:rFonts w:ascii="Times New Roman" w:hAnsi="Times New Roman" w:cs="Times New Roman"/>
          <w:sz w:val="24"/>
          <w:szCs w:val="24"/>
        </w:rPr>
        <w:t>Kabacoff</w:t>
      </w:r>
      <w:proofErr w:type="spellEnd"/>
      <w:r>
        <w:rPr>
          <w:rFonts w:ascii="Times New Roman" w:hAnsi="Times New Roman" w:cs="Times New Roman"/>
          <w:sz w:val="24"/>
          <w:szCs w:val="24"/>
        </w:rPr>
        <w:t xml:space="preserve">, 2015). To ensure that the data from Abbeville is stationary, I performed an Augmented Dickey-Fuller (ADF) test. </w:t>
      </w:r>
      <w:proofErr w:type="spellStart"/>
      <w:r>
        <w:rPr>
          <w:rFonts w:ascii="Times New Roman" w:hAnsi="Times New Roman" w:cs="Times New Roman"/>
          <w:sz w:val="24"/>
          <w:szCs w:val="24"/>
        </w:rPr>
        <w:t>Kabacoff</w:t>
      </w:r>
      <w:proofErr w:type="spellEnd"/>
      <w:r>
        <w:rPr>
          <w:rFonts w:ascii="Times New Roman" w:hAnsi="Times New Roman" w:cs="Times New Roman"/>
          <w:sz w:val="24"/>
          <w:szCs w:val="24"/>
        </w:rPr>
        <w:t xml:space="preserve"> (2015) states that, “A significant result suggests stationarity” (pg. 361). The result from the ADF test on the Abbeville data was .9752, which is </w:t>
      </w:r>
      <w:r w:rsidR="008E2A0D">
        <w:rPr>
          <w:rFonts w:ascii="Times New Roman" w:hAnsi="Times New Roman" w:cs="Times New Roman"/>
          <w:sz w:val="24"/>
          <w:szCs w:val="24"/>
        </w:rPr>
        <w:t xml:space="preserve">not </w:t>
      </w:r>
      <w:r w:rsidR="00A33F8B">
        <w:rPr>
          <w:rFonts w:ascii="Times New Roman" w:hAnsi="Times New Roman" w:cs="Times New Roman"/>
          <w:sz w:val="24"/>
          <w:szCs w:val="24"/>
        </w:rPr>
        <w:t>significant. It is likely that the trend in the data means that differencing is required (</w:t>
      </w:r>
      <w:proofErr w:type="spellStart"/>
      <w:r w:rsidR="00A33F8B">
        <w:rPr>
          <w:rFonts w:ascii="Times New Roman" w:hAnsi="Times New Roman" w:cs="Times New Roman"/>
          <w:sz w:val="24"/>
          <w:szCs w:val="24"/>
        </w:rPr>
        <w:t>Kabacoff</w:t>
      </w:r>
      <w:proofErr w:type="spellEnd"/>
      <w:r w:rsidR="00A33F8B">
        <w:rPr>
          <w:rFonts w:ascii="Times New Roman" w:hAnsi="Times New Roman" w:cs="Times New Roman"/>
          <w:sz w:val="24"/>
          <w:szCs w:val="24"/>
        </w:rPr>
        <w:t>, 2015)</w:t>
      </w:r>
      <w:r>
        <w:rPr>
          <w:rFonts w:ascii="Times New Roman" w:hAnsi="Times New Roman" w:cs="Times New Roman"/>
          <w:sz w:val="24"/>
          <w:szCs w:val="24"/>
        </w:rPr>
        <w:t xml:space="preserve">. </w:t>
      </w:r>
      <w:r w:rsidR="004C4953">
        <w:rPr>
          <w:rFonts w:ascii="Times New Roman" w:hAnsi="Times New Roman" w:cs="Times New Roman"/>
          <w:sz w:val="24"/>
          <w:szCs w:val="24"/>
        </w:rPr>
        <w:t xml:space="preserve">I then used the </w:t>
      </w:r>
      <w:proofErr w:type="spellStart"/>
      <w:r w:rsidR="004C4953">
        <w:rPr>
          <w:rFonts w:ascii="Times New Roman" w:hAnsi="Times New Roman" w:cs="Times New Roman"/>
          <w:sz w:val="24"/>
          <w:szCs w:val="24"/>
        </w:rPr>
        <w:t>ndiffs</w:t>
      </w:r>
      <w:proofErr w:type="spellEnd"/>
      <w:r w:rsidR="004C4953">
        <w:rPr>
          <w:rFonts w:ascii="Times New Roman" w:hAnsi="Times New Roman" w:cs="Times New Roman"/>
          <w:sz w:val="24"/>
          <w:szCs w:val="24"/>
        </w:rPr>
        <w:t xml:space="preserve"> function to determine if the data needed to be differenced. It required a single differencing. </w:t>
      </w:r>
      <w:r w:rsidR="008E2A0D">
        <w:rPr>
          <w:rFonts w:ascii="Times New Roman" w:hAnsi="Times New Roman" w:cs="Times New Roman"/>
          <w:sz w:val="24"/>
          <w:szCs w:val="24"/>
        </w:rPr>
        <w:t xml:space="preserve"> </w:t>
      </w:r>
      <w:r w:rsidR="007133E2">
        <w:rPr>
          <w:rFonts w:ascii="Times New Roman" w:hAnsi="Times New Roman" w:cs="Times New Roman"/>
          <w:sz w:val="24"/>
          <w:szCs w:val="24"/>
        </w:rPr>
        <w:t>The plot of the differenced data shows that differencing the data effectively removed the upward trend</w:t>
      </w:r>
      <w:r w:rsidR="00B037FD">
        <w:rPr>
          <w:rFonts w:ascii="Times New Roman" w:hAnsi="Times New Roman" w:cs="Times New Roman"/>
          <w:sz w:val="24"/>
          <w:szCs w:val="24"/>
        </w:rPr>
        <w:t xml:space="preserve"> (Figure 3)</w:t>
      </w:r>
      <w:r w:rsidR="007133E2">
        <w:rPr>
          <w:rFonts w:ascii="Times New Roman" w:hAnsi="Times New Roman" w:cs="Times New Roman"/>
          <w:sz w:val="24"/>
          <w:szCs w:val="24"/>
        </w:rPr>
        <w:t>.</w:t>
      </w:r>
    </w:p>
    <w:p w:rsidR="008E2A0D" w:rsidRDefault="008E2A0D" w:rsidP="003561E5">
      <w:pPr>
        <w:ind w:firstLine="720"/>
        <w:rPr>
          <w:rFonts w:ascii="Times New Roman" w:hAnsi="Times New Roman" w:cs="Times New Roman"/>
          <w:sz w:val="24"/>
          <w:szCs w:val="24"/>
        </w:rPr>
      </w:pPr>
    </w:p>
    <w:p w:rsidR="00F64A0C" w:rsidRDefault="007133E2" w:rsidP="00F64A0C">
      <w:pPr>
        <w:keepNext/>
        <w:jc w:val="center"/>
      </w:pPr>
      <w:r>
        <w:rPr>
          <w:rFonts w:ascii="Times New Roman" w:hAnsi="Times New Roman" w:cs="Times New Roman"/>
          <w:noProof/>
          <w:sz w:val="24"/>
          <w:szCs w:val="24"/>
        </w:rPr>
        <w:drawing>
          <wp:inline distT="0" distB="0" distL="0" distR="0">
            <wp:extent cx="3419856"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fferencedData.png"/>
                    <pic:cNvPicPr/>
                  </pic:nvPicPr>
                  <pic:blipFill>
                    <a:blip r:embed="rId10">
                      <a:extLst>
                        <a:ext uri="{28A0092B-C50C-407E-A947-70E740481C1C}">
                          <a14:useLocalDpi xmlns:a14="http://schemas.microsoft.com/office/drawing/2010/main" val="0"/>
                        </a:ext>
                      </a:extLst>
                    </a:blip>
                    <a:stretch>
                      <a:fillRect/>
                    </a:stretch>
                  </pic:blipFill>
                  <pic:spPr>
                    <a:xfrm>
                      <a:off x="0" y="0"/>
                      <a:ext cx="3419856" cy="2286000"/>
                    </a:xfrm>
                    <a:prstGeom prst="rect">
                      <a:avLst/>
                    </a:prstGeom>
                  </pic:spPr>
                </pic:pic>
              </a:graphicData>
            </a:graphic>
          </wp:inline>
        </w:drawing>
      </w:r>
    </w:p>
    <w:p w:rsidR="008E2A0D" w:rsidRDefault="00F64A0C" w:rsidP="00F64A0C">
      <w:pPr>
        <w:pStyle w:val="Caption"/>
        <w:jc w:val="center"/>
        <w:rPr>
          <w:rFonts w:ascii="Times New Roman" w:hAnsi="Times New Roman" w:cs="Times New Roman"/>
          <w:sz w:val="24"/>
          <w:szCs w:val="24"/>
        </w:rPr>
      </w:pPr>
      <w:r>
        <w:t xml:space="preserve">Figure </w:t>
      </w:r>
      <w:fldSimple w:instr=" SEQ Figure \* ARABIC ">
        <w:r w:rsidR="00AB0C87">
          <w:rPr>
            <w:noProof/>
          </w:rPr>
          <w:t>3</w:t>
        </w:r>
      </w:fldSimple>
    </w:p>
    <w:p w:rsidR="007133E2" w:rsidRDefault="007133E2" w:rsidP="003561E5">
      <w:pPr>
        <w:ind w:firstLine="720"/>
        <w:rPr>
          <w:rFonts w:ascii="Times New Roman" w:hAnsi="Times New Roman" w:cs="Times New Roman"/>
          <w:sz w:val="24"/>
          <w:szCs w:val="24"/>
        </w:rPr>
      </w:pPr>
      <w:r>
        <w:rPr>
          <w:rFonts w:ascii="Times New Roman" w:hAnsi="Times New Roman" w:cs="Times New Roman"/>
          <w:sz w:val="24"/>
          <w:szCs w:val="24"/>
        </w:rPr>
        <w:t xml:space="preserve">After differencing the data, </w:t>
      </w:r>
      <w:r w:rsidR="004C4953">
        <w:rPr>
          <w:rFonts w:ascii="Times New Roman" w:hAnsi="Times New Roman" w:cs="Times New Roman"/>
          <w:sz w:val="24"/>
          <w:szCs w:val="24"/>
        </w:rPr>
        <w:t xml:space="preserve">I ran </w:t>
      </w:r>
      <w:r w:rsidR="009855A2">
        <w:rPr>
          <w:rFonts w:ascii="Times New Roman" w:hAnsi="Times New Roman" w:cs="Times New Roman"/>
          <w:sz w:val="24"/>
          <w:szCs w:val="24"/>
        </w:rPr>
        <w:t xml:space="preserve">ACF and PACF tests to assess </w:t>
      </w:r>
      <w:r w:rsidR="004C4953">
        <w:rPr>
          <w:rFonts w:ascii="Times New Roman" w:hAnsi="Times New Roman" w:cs="Times New Roman"/>
          <w:sz w:val="24"/>
          <w:szCs w:val="24"/>
        </w:rPr>
        <w:t xml:space="preserve">the best type of ARIMA forecast. </w:t>
      </w:r>
      <w:r w:rsidR="00B037FD">
        <w:rPr>
          <w:rFonts w:ascii="Times New Roman" w:hAnsi="Times New Roman" w:cs="Times New Roman"/>
          <w:sz w:val="24"/>
          <w:szCs w:val="24"/>
        </w:rPr>
        <w:t>Results of these tests are visible in Figure 4.</w:t>
      </w:r>
    </w:p>
    <w:p w:rsidR="00F64A0C" w:rsidRDefault="007133E2" w:rsidP="00F64A0C">
      <w:pPr>
        <w:keepNext/>
        <w:jc w:val="center"/>
      </w:pPr>
      <w:r>
        <w:rPr>
          <w:rFonts w:ascii="Times New Roman" w:hAnsi="Times New Roman" w:cs="Times New Roman"/>
          <w:noProof/>
          <w:sz w:val="24"/>
          <w:szCs w:val="24"/>
        </w:rPr>
        <w:lastRenderedPageBreak/>
        <w:drawing>
          <wp:inline distT="0" distB="0" distL="0" distR="0">
            <wp:extent cx="3419856" cy="2286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fandpacf.png"/>
                    <pic:cNvPicPr/>
                  </pic:nvPicPr>
                  <pic:blipFill>
                    <a:blip r:embed="rId11">
                      <a:extLst>
                        <a:ext uri="{28A0092B-C50C-407E-A947-70E740481C1C}">
                          <a14:useLocalDpi xmlns:a14="http://schemas.microsoft.com/office/drawing/2010/main" val="0"/>
                        </a:ext>
                      </a:extLst>
                    </a:blip>
                    <a:stretch>
                      <a:fillRect/>
                    </a:stretch>
                  </pic:blipFill>
                  <pic:spPr>
                    <a:xfrm>
                      <a:off x="0" y="0"/>
                      <a:ext cx="3419856" cy="2286000"/>
                    </a:xfrm>
                    <a:prstGeom prst="rect">
                      <a:avLst/>
                    </a:prstGeom>
                  </pic:spPr>
                </pic:pic>
              </a:graphicData>
            </a:graphic>
          </wp:inline>
        </w:drawing>
      </w:r>
    </w:p>
    <w:p w:rsidR="007133E2" w:rsidRDefault="00F64A0C" w:rsidP="00F64A0C">
      <w:pPr>
        <w:pStyle w:val="Caption"/>
        <w:jc w:val="center"/>
        <w:rPr>
          <w:rFonts w:ascii="Times New Roman" w:hAnsi="Times New Roman" w:cs="Times New Roman"/>
          <w:sz w:val="24"/>
          <w:szCs w:val="24"/>
        </w:rPr>
      </w:pPr>
      <w:r>
        <w:t xml:space="preserve">Figure </w:t>
      </w:r>
      <w:fldSimple w:instr=" SEQ Figure \* ARABIC ">
        <w:r w:rsidR="00AB0C87">
          <w:rPr>
            <w:noProof/>
          </w:rPr>
          <w:t>4</w:t>
        </w:r>
      </w:fldSimple>
    </w:p>
    <w:p w:rsidR="004C4953" w:rsidRDefault="007133E2" w:rsidP="003561E5">
      <w:pPr>
        <w:ind w:firstLine="720"/>
        <w:rPr>
          <w:rFonts w:ascii="Times New Roman" w:hAnsi="Times New Roman" w:cs="Times New Roman"/>
          <w:sz w:val="24"/>
          <w:szCs w:val="24"/>
        </w:rPr>
      </w:pPr>
      <w:r>
        <w:rPr>
          <w:rFonts w:ascii="Times New Roman" w:hAnsi="Times New Roman" w:cs="Times New Roman"/>
          <w:sz w:val="24"/>
          <w:szCs w:val="24"/>
        </w:rPr>
        <w:t>The ACF test shows one large spike at the beginning of the ACF plot and a gradual decay in the PACF plot. Additionally, the correlations for both the ACF and PACF are negative. This pattern suggests</w:t>
      </w:r>
      <w:r w:rsidR="004C4953">
        <w:rPr>
          <w:rFonts w:ascii="Times New Roman" w:hAnsi="Times New Roman" w:cs="Times New Roman"/>
          <w:sz w:val="24"/>
          <w:szCs w:val="24"/>
        </w:rPr>
        <w:t xml:space="preserve"> an </w:t>
      </w:r>
      <w:proofErr w:type="gramStart"/>
      <w:r w:rsidR="004C4953">
        <w:rPr>
          <w:rFonts w:ascii="Times New Roman" w:hAnsi="Times New Roman" w:cs="Times New Roman"/>
          <w:sz w:val="24"/>
          <w:szCs w:val="24"/>
        </w:rPr>
        <w:t>MA(</w:t>
      </w:r>
      <w:proofErr w:type="gramEnd"/>
      <w:r w:rsidR="004C4953">
        <w:rPr>
          <w:rFonts w:ascii="Times New Roman" w:hAnsi="Times New Roman" w:cs="Times New Roman"/>
          <w:sz w:val="24"/>
          <w:szCs w:val="24"/>
        </w:rPr>
        <w:t>1) signature (</w:t>
      </w:r>
      <w:proofErr w:type="spellStart"/>
      <w:r w:rsidR="004C4953">
        <w:rPr>
          <w:rFonts w:ascii="Times New Roman" w:hAnsi="Times New Roman" w:cs="Times New Roman"/>
          <w:sz w:val="24"/>
          <w:szCs w:val="24"/>
        </w:rPr>
        <w:t>Nau</w:t>
      </w:r>
      <w:proofErr w:type="spellEnd"/>
      <w:r w:rsidR="004C4953">
        <w:rPr>
          <w:rFonts w:ascii="Times New Roman" w:hAnsi="Times New Roman" w:cs="Times New Roman"/>
          <w:sz w:val="24"/>
          <w:szCs w:val="24"/>
        </w:rPr>
        <w:t xml:space="preserve">, </w:t>
      </w:r>
      <w:proofErr w:type="spellStart"/>
      <w:r w:rsidR="004C4953">
        <w:rPr>
          <w:rFonts w:ascii="Times New Roman" w:hAnsi="Times New Roman" w:cs="Times New Roman"/>
          <w:sz w:val="24"/>
          <w:szCs w:val="24"/>
        </w:rPr>
        <w:t>n.d.</w:t>
      </w:r>
      <w:proofErr w:type="spellEnd"/>
      <w:r w:rsidR="004C4953">
        <w:rPr>
          <w:rFonts w:ascii="Times New Roman" w:hAnsi="Times New Roman" w:cs="Times New Roman"/>
          <w:sz w:val="24"/>
          <w:szCs w:val="24"/>
        </w:rPr>
        <w:t>)</w:t>
      </w:r>
      <w:r w:rsidR="00A33F8B">
        <w:rPr>
          <w:rFonts w:ascii="Times New Roman" w:hAnsi="Times New Roman" w:cs="Times New Roman"/>
          <w:sz w:val="24"/>
          <w:szCs w:val="24"/>
        </w:rPr>
        <w:t>.</w:t>
      </w:r>
    </w:p>
    <w:p w:rsidR="009855A2" w:rsidRDefault="009855A2" w:rsidP="003561E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4C4953">
        <w:rPr>
          <w:rFonts w:ascii="Times New Roman" w:hAnsi="Times New Roman" w:cs="Times New Roman"/>
          <w:sz w:val="24"/>
          <w:szCs w:val="24"/>
        </w:rPr>
        <w:t>T</w:t>
      </w:r>
      <w:r>
        <w:rPr>
          <w:rFonts w:ascii="Times New Roman" w:hAnsi="Times New Roman" w:cs="Times New Roman"/>
          <w:sz w:val="24"/>
          <w:szCs w:val="24"/>
        </w:rPr>
        <w:t xml:space="preserve">he forecast package in R provides a simple automatic ARIMA modeling approach. The </w:t>
      </w:r>
      <w:proofErr w:type="spellStart"/>
      <w:r>
        <w:rPr>
          <w:rFonts w:ascii="Times New Roman" w:hAnsi="Times New Roman" w:cs="Times New Roman"/>
          <w:sz w:val="24"/>
          <w:szCs w:val="24"/>
        </w:rPr>
        <w:t>auto.arima</w:t>
      </w:r>
      <w:proofErr w:type="spellEnd"/>
      <w:r>
        <w:rPr>
          <w:rFonts w:ascii="Times New Roman" w:hAnsi="Times New Roman" w:cs="Times New Roman"/>
          <w:sz w:val="24"/>
          <w:szCs w:val="24"/>
        </w:rPr>
        <w:t xml:space="preserve"> function returned a model that used p of </w:t>
      </w:r>
      <w:r w:rsidR="003561E5">
        <w:rPr>
          <w:rFonts w:ascii="Times New Roman" w:hAnsi="Times New Roman" w:cs="Times New Roman"/>
          <w:sz w:val="24"/>
          <w:szCs w:val="24"/>
        </w:rPr>
        <w:t xml:space="preserve">0, d of 1, and q of 1. This </w:t>
      </w:r>
      <w:r w:rsidR="004C4953">
        <w:rPr>
          <w:rFonts w:ascii="Times New Roman" w:hAnsi="Times New Roman" w:cs="Times New Roman"/>
          <w:sz w:val="24"/>
          <w:szCs w:val="24"/>
        </w:rPr>
        <w:t>matches the MA(1) signature that was expected based off of the ACF and PACF tests</w:t>
      </w:r>
      <w:r w:rsidR="007133E2">
        <w:rPr>
          <w:rFonts w:ascii="Times New Roman" w:hAnsi="Times New Roman" w:cs="Times New Roman"/>
          <w:sz w:val="24"/>
          <w:szCs w:val="24"/>
        </w:rPr>
        <w:t>, and corresponds to simple exponential smoothing (once the trend has been accounted for)</w:t>
      </w:r>
      <w:r w:rsidR="003561E5">
        <w:rPr>
          <w:rFonts w:ascii="Times New Roman" w:hAnsi="Times New Roman" w:cs="Times New Roman"/>
          <w:sz w:val="24"/>
          <w:szCs w:val="24"/>
        </w:rPr>
        <w:t xml:space="preserve"> (</w:t>
      </w:r>
      <w:proofErr w:type="spellStart"/>
      <w:r w:rsidR="004C4953">
        <w:rPr>
          <w:rFonts w:ascii="Times New Roman" w:hAnsi="Times New Roman" w:cs="Times New Roman"/>
          <w:sz w:val="24"/>
          <w:szCs w:val="24"/>
        </w:rPr>
        <w:t>Nau</w:t>
      </w:r>
      <w:proofErr w:type="spellEnd"/>
      <w:r w:rsidR="004C4953">
        <w:rPr>
          <w:rFonts w:ascii="Times New Roman" w:hAnsi="Times New Roman" w:cs="Times New Roman"/>
          <w:sz w:val="24"/>
          <w:szCs w:val="24"/>
        </w:rPr>
        <w:t xml:space="preserve">, </w:t>
      </w:r>
      <w:proofErr w:type="spellStart"/>
      <w:r w:rsidR="004C4953">
        <w:rPr>
          <w:rFonts w:ascii="Times New Roman" w:hAnsi="Times New Roman" w:cs="Times New Roman"/>
          <w:sz w:val="24"/>
          <w:szCs w:val="24"/>
        </w:rPr>
        <w:t>n.d.</w:t>
      </w:r>
      <w:proofErr w:type="spellEnd"/>
      <w:r w:rsidR="003561E5">
        <w:rPr>
          <w:rFonts w:ascii="Times New Roman" w:hAnsi="Times New Roman" w:cs="Times New Roman"/>
          <w:sz w:val="24"/>
          <w:szCs w:val="24"/>
        </w:rPr>
        <w:t>).</w:t>
      </w:r>
      <w:r>
        <w:rPr>
          <w:rFonts w:ascii="Times New Roman" w:hAnsi="Times New Roman" w:cs="Times New Roman"/>
          <w:sz w:val="24"/>
          <w:szCs w:val="24"/>
        </w:rPr>
        <w:t xml:space="preserve"> </w:t>
      </w:r>
      <w:r w:rsidR="007133E2">
        <w:rPr>
          <w:rFonts w:ascii="Times New Roman" w:hAnsi="Times New Roman" w:cs="Times New Roman"/>
          <w:sz w:val="24"/>
          <w:szCs w:val="24"/>
        </w:rPr>
        <w:t xml:space="preserve">The ARIMA model was used to predict an additional 12 months. </w:t>
      </w:r>
      <w:r w:rsidR="00B037FD">
        <w:rPr>
          <w:rFonts w:ascii="Times New Roman" w:hAnsi="Times New Roman" w:cs="Times New Roman"/>
          <w:sz w:val="24"/>
          <w:szCs w:val="24"/>
        </w:rPr>
        <w:t>Figure 5</w:t>
      </w:r>
      <w:r w:rsidR="003561E5">
        <w:rPr>
          <w:rFonts w:ascii="Times New Roman" w:hAnsi="Times New Roman" w:cs="Times New Roman"/>
          <w:sz w:val="24"/>
          <w:szCs w:val="24"/>
        </w:rPr>
        <w:t xml:space="preserve"> is a plot of the final year of actual demand and the forecast for the next 12 months.</w:t>
      </w:r>
    </w:p>
    <w:p w:rsidR="003561E5" w:rsidRDefault="003561E5" w:rsidP="003561E5">
      <w:pPr>
        <w:rPr>
          <w:rFonts w:ascii="Times New Roman" w:hAnsi="Times New Roman" w:cs="Times New Roman"/>
          <w:noProof/>
          <w:sz w:val="24"/>
          <w:szCs w:val="24"/>
        </w:rPr>
      </w:pPr>
    </w:p>
    <w:p w:rsidR="00F64A0C" w:rsidRDefault="003561E5" w:rsidP="00F64A0C">
      <w:pPr>
        <w:keepNext/>
        <w:jc w:val="center"/>
      </w:pPr>
      <w:r>
        <w:rPr>
          <w:rFonts w:ascii="Times New Roman" w:hAnsi="Times New Roman" w:cs="Times New Roman"/>
          <w:noProof/>
          <w:sz w:val="24"/>
          <w:szCs w:val="24"/>
        </w:rPr>
        <w:drawing>
          <wp:inline distT="0" distB="0" distL="0" distR="0">
            <wp:extent cx="3758184"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ArimaForecast.png"/>
                    <pic:cNvPicPr/>
                  </pic:nvPicPr>
                  <pic:blipFill>
                    <a:blip r:embed="rId12">
                      <a:extLst>
                        <a:ext uri="{28A0092B-C50C-407E-A947-70E740481C1C}">
                          <a14:useLocalDpi xmlns:a14="http://schemas.microsoft.com/office/drawing/2010/main" val="0"/>
                        </a:ext>
                      </a:extLst>
                    </a:blip>
                    <a:stretch>
                      <a:fillRect/>
                    </a:stretch>
                  </pic:blipFill>
                  <pic:spPr>
                    <a:xfrm>
                      <a:off x="0" y="0"/>
                      <a:ext cx="3758184" cy="2286000"/>
                    </a:xfrm>
                    <a:prstGeom prst="rect">
                      <a:avLst/>
                    </a:prstGeom>
                  </pic:spPr>
                </pic:pic>
              </a:graphicData>
            </a:graphic>
          </wp:inline>
        </w:drawing>
      </w:r>
    </w:p>
    <w:p w:rsidR="003561E5" w:rsidRDefault="00F64A0C" w:rsidP="00F64A0C">
      <w:pPr>
        <w:pStyle w:val="Caption"/>
        <w:jc w:val="center"/>
        <w:rPr>
          <w:rFonts w:ascii="Times New Roman" w:hAnsi="Times New Roman" w:cs="Times New Roman"/>
          <w:sz w:val="24"/>
          <w:szCs w:val="24"/>
        </w:rPr>
      </w:pPr>
      <w:r>
        <w:t xml:space="preserve">Figure </w:t>
      </w:r>
      <w:fldSimple w:instr=" SEQ Figure \* ARABIC ">
        <w:r w:rsidR="00AB0C87">
          <w:rPr>
            <w:noProof/>
          </w:rPr>
          <w:t>5</w:t>
        </w:r>
      </w:fldSimple>
    </w:p>
    <w:p w:rsidR="003561E5" w:rsidRDefault="003561E5" w:rsidP="003561E5">
      <w:pPr>
        <w:ind w:firstLine="720"/>
        <w:rPr>
          <w:rFonts w:ascii="Times New Roman" w:hAnsi="Times New Roman" w:cs="Times New Roman"/>
          <w:sz w:val="24"/>
          <w:szCs w:val="24"/>
        </w:rPr>
      </w:pPr>
      <w:r>
        <w:rPr>
          <w:rFonts w:ascii="Times New Roman" w:hAnsi="Times New Roman" w:cs="Times New Roman"/>
          <w:sz w:val="24"/>
          <w:szCs w:val="24"/>
        </w:rPr>
        <w:t>This plot shows less upward trend than the Holt forecast. Again, the actual forecasted demand numbers and confidence intervals can be helpful in planning physician availability.</w:t>
      </w:r>
      <w:r w:rsidR="00B037FD">
        <w:rPr>
          <w:rFonts w:ascii="Times New Roman" w:hAnsi="Times New Roman" w:cs="Times New Roman"/>
          <w:sz w:val="24"/>
          <w:szCs w:val="24"/>
        </w:rPr>
        <w:t xml:space="preserve"> That data can be seen in Table 2.</w:t>
      </w:r>
    </w:p>
    <w:p w:rsidR="003F466A" w:rsidRDefault="003F466A" w:rsidP="003F466A">
      <w:pPr>
        <w:pStyle w:val="Caption"/>
        <w:keepNext/>
      </w:pPr>
    </w:p>
    <w:tbl>
      <w:tblPr>
        <w:tblW w:w="6925" w:type="dxa"/>
        <w:jc w:val="center"/>
        <w:tblLook w:val="04A0" w:firstRow="1" w:lastRow="0" w:firstColumn="1" w:lastColumn="0" w:noHBand="0" w:noVBand="1"/>
      </w:tblPr>
      <w:tblGrid>
        <w:gridCol w:w="610"/>
        <w:gridCol w:w="663"/>
        <w:gridCol w:w="1440"/>
        <w:gridCol w:w="1053"/>
        <w:gridCol w:w="1053"/>
        <w:gridCol w:w="1053"/>
        <w:gridCol w:w="1053"/>
      </w:tblGrid>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Times New Roman" w:eastAsia="Times New Roman" w:hAnsi="Times New Roman" w:cs="Times New Roman"/>
                <w:sz w:val="20"/>
                <w:szCs w:val="24"/>
              </w:rPr>
            </w:pPr>
            <w:bookmarkStart w:id="2" w:name="RANGE!B17:H29"/>
            <w:bookmarkEnd w:id="2"/>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Point Forecast</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Lo 80</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Hi 80</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Lo 95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Hi 95</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Jan</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5523.678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5007.663</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6039.693</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4734.501</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6312.855</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Feb</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5577.739</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5038.593</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6116.886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4753.186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6402.293</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Mar</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5631.8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5070.475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6193.126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4773.327</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6490.274</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Apr</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5685.861</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5103.2</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6268.523</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4794.758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6576.965</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May</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5739.923</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5136.68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6343.165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4817.343</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6662.503</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Jun</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5793.984</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5170.839</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6417.128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4840.966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6747.001</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Jul</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5848.045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5205.614</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6490.475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4865.532</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6830.557</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Aug</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5902.106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5240.952</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6563.26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4890.958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6913.254</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Sep</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5956.167</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5276.806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6635.529</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4917.174</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6995.161</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Oct</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6010.228</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5313.135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6707.322</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4944.116</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7076.341</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Nov</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6064.289</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5349.904</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6778.675</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4971.731</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7156.848</w:t>
            </w:r>
          </w:p>
        </w:tc>
      </w:tr>
      <w:tr w:rsidR="003F466A" w:rsidRPr="00117DDB" w:rsidTr="003F466A">
        <w:trPr>
          <w:trHeight w:val="300"/>
          <w:jc w:val="center"/>
        </w:trPr>
        <w:tc>
          <w:tcPr>
            <w:tcW w:w="61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rPr>
                <w:rFonts w:ascii="Calibri" w:eastAsia="Times New Roman" w:hAnsi="Calibri" w:cs="Calibri"/>
                <w:color w:val="000000"/>
                <w:sz w:val="20"/>
              </w:rPr>
            </w:pPr>
            <w:r w:rsidRPr="00117DDB">
              <w:rPr>
                <w:rFonts w:ascii="Calibri" w:eastAsia="Times New Roman" w:hAnsi="Calibri" w:cs="Calibri"/>
                <w:color w:val="000000"/>
                <w:sz w:val="20"/>
              </w:rPr>
              <w:t>Dec</w:t>
            </w:r>
          </w:p>
        </w:tc>
        <w:tc>
          <w:tcPr>
            <w:tcW w:w="66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2014</w:t>
            </w:r>
          </w:p>
        </w:tc>
        <w:tc>
          <w:tcPr>
            <w:tcW w:w="1440"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6118.351</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5387.081</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6849.62</w:t>
            </w:r>
          </w:p>
        </w:tc>
        <w:tc>
          <w:tcPr>
            <w:tcW w:w="1053" w:type="dxa"/>
            <w:tcBorders>
              <w:top w:val="nil"/>
              <w:left w:val="nil"/>
              <w:bottom w:val="nil"/>
              <w:right w:val="nil"/>
            </w:tcBorders>
            <w:shd w:val="clear" w:color="auto" w:fill="auto"/>
            <w:noWrap/>
            <w:vAlign w:val="bottom"/>
            <w:hideMark/>
          </w:tcPr>
          <w:p w:rsidR="003F466A" w:rsidRPr="00117DDB" w:rsidRDefault="003F466A" w:rsidP="003F466A">
            <w:pPr>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4999.971</w:t>
            </w:r>
          </w:p>
        </w:tc>
        <w:tc>
          <w:tcPr>
            <w:tcW w:w="1053" w:type="dxa"/>
            <w:tcBorders>
              <w:top w:val="nil"/>
              <w:left w:val="nil"/>
              <w:bottom w:val="nil"/>
              <w:right w:val="nil"/>
            </w:tcBorders>
            <w:shd w:val="clear" w:color="auto" w:fill="auto"/>
            <w:noWrap/>
            <w:vAlign w:val="bottom"/>
            <w:hideMark/>
          </w:tcPr>
          <w:p w:rsidR="003F466A" w:rsidRPr="00117DDB" w:rsidRDefault="003F466A" w:rsidP="00B037FD">
            <w:pPr>
              <w:keepNext/>
              <w:spacing w:after="0" w:line="240" w:lineRule="auto"/>
              <w:jc w:val="right"/>
              <w:rPr>
                <w:rFonts w:ascii="Calibri" w:eastAsia="Times New Roman" w:hAnsi="Calibri" w:cs="Calibri"/>
                <w:color w:val="000000"/>
                <w:sz w:val="20"/>
              </w:rPr>
            </w:pPr>
            <w:r w:rsidRPr="00117DDB">
              <w:rPr>
                <w:rFonts w:ascii="Calibri" w:eastAsia="Times New Roman" w:hAnsi="Calibri" w:cs="Calibri"/>
                <w:color w:val="000000"/>
                <w:sz w:val="20"/>
              </w:rPr>
              <w:t>7236.73</w:t>
            </w:r>
          </w:p>
        </w:tc>
      </w:tr>
    </w:tbl>
    <w:p w:rsidR="003561E5" w:rsidRDefault="00B037FD" w:rsidP="00B037FD">
      <w:pPr>
        <w:pStyle w:val="Caption"/>
        <w:jc w:val="center"/>
        <w:rPr>
          <w:rFonts w:ascii="Times New Roman" w:hAnsi="Times New Roman" w:cs="Times New Roman"/>
          <w:sz w:val="24"/>
          <w:szCs w:val="24"/>
        </w:rPr>
      </w:pPr>
      <w:r>
        <w:t xml:space="preserve">Table </w:t>
      </w:r>
      <w:fldSimple w:instr=" SEQ Table \* ARABIC ">
        <w:r>
          <w:rPr>
            <w:noProof/>
          </w:rPr>
          <w:t>2</w:t>
        </w:r>
      </w:fldSimple>
    </w:p>
    <w:p w:rsidR="005C6188" w:rsidRPr="005C6188" w:rsidRDefault="005C6188" w:rsidP="003561E5">
      <w:pPr>
        <w:rPr>
          <w:rFonts w:ascii="Times New Roman" w:hAnsi="Times New Roman" w:cs="Times New Roman"/>
          <w:b/>
          <w:sz w:val="24"/>
          <w:szCs w:val="24"/>
        </w:rPr>
      </w:pPr>
      <w:r w:rsidRPr="005C6188">
        <w:rPr>
          <w:rFonts w:ascii="Times New Roman" w:hAnsi="Times New Roman" w:cs="Times New Roman"/>
          <w:b/>
          <w:sz w:val="24"/>
          <w:szCs w:val="24"/>
        </w:rPr>
        <w:t xml:space="preserve">Holt versus </w:t>
      </w:r>
      <w:r w:rsidR="00322F3F">
        <w:rPr>
          <w:rFonts w:ascii="Times New Roman" w:hAnsi="Times New Roman" w:cs="Times New Roman"/>
          <w:b/>
          <w:sz w:val="24"/>
          <w:szCs w:val="24"/>
        </w:rPr>
        <w:t>ARIMA</w:t>
      </w:r>
      <w:r w:rsidRPr="005C6188">
        <w:rPr>
          <w:rFonts w:ascii="Times New Roman" w:hAnsi="Times New Roman" w:cs="Times New Roman"/>
          <w:b/>
          <w:sz w:val="24"/>
          <w:szCs w:val="24"/>
        </w:rPr>
        <w:t xml:space="preserve"> – Model Fit</w:t>
      </w:r>
    </w:p>
    <w:p w:rsidR="007133E2" w:rsidRDefault="005C6188" w:rsidP="007133E2">
      <w:pPr>
        <w:ind w:firstLine="720"/>
        <w:rPr>
          <w:rFonts w:ascii="Times New Roman" w:hAnsi="Times New Roman" w:cs="Times New Roman"/>
          <w:sz w:val="24"/>
          <w:szCs w:val="24"/>
        </w:rPr>
      </w:pPr>
      <w:r>
        <w:rPr>
          <w:rFonts w:ascii="Times New Roman" w:hAnsi="Times New Roman" w:cs="Times New Roman"/>
          <w:sz w:val="24"/>
          <w:szCs w:val="24"/>
        </w:rPr>
        <w:t xml:space="preserve">While each model shows similar visual results, we can also evaluate model fit based on a number of </w:t>
      </w:r>
      <w:r w:rsidR="007133E2">
        <w:rPr>
          <w:rFonts w:ascii="Times New Roman" w:hAnsi="Times New Roman" w:cs="Times New Roman"/>
          <w:sz w:val="24"/>
          <w:szCs w:val="24"/>
        </w:rPr>
        <w:t>factors</w:t>
      </w:r>
      <w:r>
        <w:rPr>
          <w:rFonts w:ascii="Times New Roman" w:hAnsi="Times New Roman" w:cs="Times New Roman"/>
          <w:sz w:val="24"/>
          <w:szCs w:val="24"/>
        </w:rPr>
        <w:t xml:space="preserve">. </w:t>
      </w:r>
      <w:r w:rsidR="007133E2">
        <w:rPr>
          <w:rFonts w:ascii="Times New Roman" w:hAnsi="Times New Roman" w:cs="Times New Roman"/>
          <w:sz w:val="24"/>
          <w:szCs w:val="24"/>
        </w:rPr>
        <w:t xml:space="preserve">One way to evaluate model fit is to review the residuals and autocorrelations. </w:t>
      </w:r>
      <w:proofErr w:type="spellStart"/>
      <w:r w:rsidR="007133E2">
        <w:rPr>
          <w:rFonts w:ascii="Times New Roman" w:hAnsi="Times New Roman" w:cs="Times New Roman"/>
          <w:sz w:val="24"/>
          <w:szCs w:val="24"/>
        </w:rPr>
        <w:t>Kabacoff</w:t>
      </w:r>
      <w:proofErr w:type="spellEnd"/>
      <w:r w:rsidR="007133E2">
        <w:rPr>
          <w:rFonts w:ascii="Times New Roman" w:hAnsi="Times New Roman" w:cs="Times New Roman"/>
          <w:sz w:val="24"/>
          <w:szCs w:val="24"/>
        </w:rPr>
        <w:t xml:space="preserve"> (2015) states that, “</w:t>
      </w:r>
      <w:r w:rsidR="007133E2" w:rsidRPr="007133E2">
        <w:rPr>
          <w:rFonts w:ascii="Times New Roman" w:hAnsi="Times New Roman" w:cs="Times New Roman"/>
          <w:sz w:val="24"/>
          <w:szCs w:val="24"/>
        </w:rPr>
        <w:t>the residuals should be</w:t>
      </w:r>
      <w:r w:rsidR="007133E2">
        <w:rPr>
          <w:rFonts w:ascii="Times New Roman" w:hAnsi="Times New Roman" w:cs="Times New Roman"/>
          <w:sz w:val="24"/>
          <w:szCs w:val="24"/>
        </w:rPr>
        <w:t xml:space="preserve"> normally distributed with mean </w:t>
      </w:r>
      <w:r w:rsidR="007133E2" w:rsidRPr="007133E2">
        <w:rPr>
          <w:rFonts w:ascii="Times New Roman" w:hAnsi="Times New Roman" w:cs="Times New Roman"/>
          <w:sz w:val="24"/>
          <w:szCs w:val="24"/>
        </w:rPr>
        <w:t>zero, and the autocorrelations should be zero for every possible lag</w:t>
      </w:r>
      <w:r w:rsidR="007133E2">
        <w:rPr>
          <w:rFonts w:ascii="Times New Roman" w:hAnsi="Times New Roman" w:cs="Times New Roman"/>
          <w:sz w:val="24"/>
          <w:szCs w:val="24"/>
        </w:rPr>
        <w:t xml:space="preserve">” (p. 365). I tested this assumption using the </w:t>
      </w:r>
      <w:proofErr w:type="spellStart"/>
      <w:r w:rsidR="007133E2">
        <w:rPr>
          <w:rFonts w:ascii="Times New Roman" w:hAnsi="Times New Roman" w:cs="Times New Roman"/>
          <w:sz w:val="24"/>
          <w:szCs w:val="24"/>
        </w:rPr>
        <w:t>qqnorm</w:t>
      </w:r>
      <w:proofErr w:type="spellEnd"/>
      <w:r w:rsidR="007133E2">
        <w:rPr>
          <w:rFonts w:ascii="Times New Roman" w:hAnsi="Times New Roman" w:cs="Times New Roman"/>
          <w:sz w:val="24"/>
          <w:szCs w:val="24"/>
        </w:rPr>
        <w:t xml:space="preserve"> and </w:t>
      </w:r>
      <w:proofErr w:type="spellStart"/>
      <w:r w:rsidR="009C170E">
        <w:rPr>
          <w:rFonts w:ascii="Times New Roman" w:hAnsi="Times New Roman" w:cs="Times New Roman"/>
          <w:sz w:val="24"/>
          <w:szCs w:val="24"/>
        </w:rPr>
        <w:t>qqline</w:t>
      </w:r>
      <w:proofErr w:type="spellEnd"/>
      <w:r w:rsidR="009C170E">
        <w:rPr>
          <w:rFonts w:ascii="Times New Roman" w:hAnsi="Times New Roman" w:cs="Times New Roman"/>
          <w:sz w:val="24"/>
          <w:szCs w:val="24"/>
        </w:rPr>
        <w:t xml:space="preserve"> functions (which shows distributions of residuals) and the Box-</w:t>
      </w:r>
      <w:proofErr w:type="spellStart"/>
      <w:r w:rsidR="009C170E">
        <w:rPr>
          <w:rFonts w:ascii="Times New Roman" w:hAnsi="Times New Roman" w:cs="Times New Roman"/>
          <w:sz w:val="24"/>
          <w:szCs w:val="24"/>
        </w:rPr>
        <w:t>Ljung</w:t>
      </w:r>
      <w:proofErr w:type="spellEnd"/>
      <w:r w:rsidR="009C170E">
        <w:rPr>
          <w:rFonts w:ascii="Times New Roman" w:hAnsi="Times New Roman" w:cs="Times New Roman"/>
          <w:sz w:val="24"/>
          <w:szCs w:val="24"/>
        </w:rPr>
        <w:t xml:space="preserve"> test (which tests that autocorrelations are all zero). For both models, the Box-</w:t>
      </w:r>
      <w:proofErr w:type="spellStart"/>
      <w:r w:rsidR="009C170E">
        <w:rPr>
          <w:rFonts w:ascii="Times New Roman" w:hAnsi="Times New Roman" w:cs="Times New Roman"/>
          <w:sz w:val="24"/>
          <w:szCs w:val="24"/>
        </w:rPr>
        <w:t>Ljung</w:t>
      </w:r>
      <w:proofErr w:type="spellEnd"/>
      <w:r w:rsidR="009C170E">
        <w:rPr>
          <w:rFonts w:ascii="Times New Roman" w:hAnsi="Times New Roman" w:cs="Times New Roman"/>
          <w:sz w:val="24"/>
          <w:szCs w:val="24"/>
        </w:rPr>
        <w:t xml:space="preserve"> test returned insignificant results, supporting the assertion that the autocorrelations don’t differ from zero (</w:t>
      </w:r>
      <w:proofErr w:type="spellStart"/>
      <w:r w:rsidR="009C170E">
        <w:rPr>
          <w:rFonts w:ascii="Times New Roman" w:hAnsi="Times New Roman" w:cs="Times New Roman"/>
          <w:sz w:val="24"/>
          <w:szCs w:val="24"/>
        </w:rPr>
        <w:t>Kabacoff</w:t>
      </w:r>
      <w:proofErr w:type="spellEnd"/>
      <w:r w:rsidR="009C170E">
        <w:rPr>
          <w:rFonts w:ascii="Times New Roman" w:hAnsi="Times New Roman" w:cs="Times New Roman"/>
          <w:sz w:val="24"/>
          <w:szCs w:val="24"/>
        </w:rPr>
        <w:t>, 2015). Plots for the Holt and ARIMA residuals are shown below. As you can see, the Holt residuals fall more closely along the line. This indicates that they are closer to being normally and independently distributed than the ARIMA residuals (</w:t>
      </w:r>
      <w:proofErr w:type="spellStart"/>
      <w:r w:rsidR="009C170E">
        <w:rPr>
          <w:rFonts w:ascii="Times New Roman" w:hAnsi="Times New Roman" w:cs="Times New Roman"/>
          <w:sz w:val="24"/>
          <w:szCs w:val="24"/>
        </w:rPr>
        <w:t>Kabacoff</w:t>
      </w:r>
      <w:proofErr w:type="spellEnd"/>
      <w:r w:rsidR="009C170E">
        <w:rPr>
          <w:rFonts w:ascii="Times New Roman" w:hAnsi="Times New Roman" w:cs="Times New Roman"/>
          <w:sz w:val="24"/>
          <w:szCs w:val="24"/>
        </w:rPr>
        <w:t xml:space="preserve">, 2015). This may be our first indication that the Holt model is a more accurate fit than the ARIMA model. </w:t>
      </w:r>
    </w:p>
    <w:p w:rsidR="00AB0C87" w:rsidRDefault="00AB0C87" w:rsidP="00AB0C87">
      <w:pPr>
        <w:keepNext/>
        <w:jc w:val="center"/>
      </w:pPr>
      <w:r>
        <w:rPr>
          <w:noProof/>
        </w:rPr>
        <w:drawing>
          <wp:inline distT="0" distB="0" distL="0" distR="0">
            <wp:extent cx="318211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inedResidual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82112" cy="2286000"/>
                    </a:xfrm>
                    <a:prstGeom prst="rect">
                      <a:avLst/>
                    </a:prstGeom>
                  </pic:spPr>
                </pic:pic>
              </a:graphicData>
            </a:graphic>
          </wp:inline>
        </w:drawing>
      </w:r>
    </w:p>
    <w:p w:rsidR="00F64A0C" w:rsidRDefault="00AB0C87" w:rsidP="00AB0C87">
      <w:pPr>
        <w:pStyle w:val="Caption"/>
        <w:jc w:val="center"/>
      </w:pPr>
      <w:r>
        <w:t xml:space="preserve">Figure </w:t>
      </w:r>
      <w:fldSimple w:instr=" SEQ Figure \* ARABIC ">
        <w:r>
          <w:rPr>
            <w:noProof/>
          </w:rPr>
          <w:t>6</w:t>
        </w:r>
      </w:fldSimple>
    </w:p>
    <w:p w:rsidR="005C6188" w:rsidRDefault="009C170E" w:rsidP="007133E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examining the residuals, there are a number of accuracy statistics that can be used to compare models. </w:t>
      </w:r>
      <w:r w:rsidR="005C6188">
        <w:rPr>
          <w:rFonts w:ascii="Times New Roman" w:hAnsi="Times New Roman" w:cs="Times New Roman"/>
          <w:sz w:val="24"/>
          <w:szCs w:val="24"/>
        </w:rPr>
        <w:t>The following table summarizes the accuracy measures of the two models</w:t>
      </w:r>
      <w:r w:rsidR="003F466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01"/>
        <w:gridCol w:w="1520"/>
        <w:gridCol w:w="1605"/>
        <w:gridCol w:w="1680"/>
        <w:gridCol w:w="1594"/>
        <w:gridCol w:w="1350"/>
      </w:tblGrid>
      <w:tr w:rsidR="005C6188" w:rsidTr="005C6188">
        <w:tc>
          <w:tcPr>
            <w:tcW w:w="1601"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Model</w:t>
            </w:r>
          </w:p>
        </w:tc>
        <w:tc>
          <w:tcPr>
            <w:tcW w:w="1520" w:type="dxa"/>
          </w:tcPr>
          <w:p w:rsidR="005C6188" w:rsidRDefault="00322F3F" w:rsidP="003561E5">
            <w:pPr>
              <w:rPr>
                <w:rFonts w:ascii="Times New Roman" w:hAnsi="Times New Roman" w:cs="Times New Roman"/>
                <w:sz w:val="24"/>
                <w:szCs w:val="24"/>
              </w:rPr>
            </w:pPr>
            <w:r>
              <w:rPr>
                <w:rFonts w:ascii="Times New Roman" w:hAnsi="Times New Roman" w:cs="Times New Roman"/>
                <w:sz w:val="24"/>
                <w:szCs w:val="24"/>
              </w:rPr>
              <w:t>Mean Absolute Scaled Error (MASE)</w:t>
            </w:r>
          </w:p>
        </w:tc>
        <w:tc>
          <w:tcPr>
            <w:tcW w:w="1605"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Root Mean Error Squared (RMSE)</w:t>
            </w:r>
          </w:p>
        </w:tc>
        <w:tc>
          <w:tcPr>
            <w:tcW w:w="1680"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Mean Absolute Percentage Error (MAPE)</w:t>
            </w:r>
          </w:p>
        </w:tc>
        <w:tc>
          <w:tcPr>
            <w:tcW w:w="1594"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AIC</w:t>
            </w:r>
          </w:p>
        </w:tc>
        <w:tc>
          <w:tcPr>
            <w:tcW w:w="1350"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BIC</w:t>
            </w:r>
          </w:p>
        </w:tc>
      </w:tr>
      <w:tr w:rsidR="005C6188" w:rsidTr="005C6188">
        <w:tc>
          <w:tcPr>
            <w:tcW w:w="1601"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Holt</w:t>
            </w:r>
          </w:p>
        </w:tc>
        <w:tc>
          <w:tcPr>
            <w:tcW w:w="1520" w:type="dxa"/>
          </w:tcPr>
          <w:p w:rsidR="005C6188" w:rsidRDefault="00322F3F" w:rsidP="003561E5">
            <w:pPr>
              <w:rPr>
                <w:rFonts w:ascii="Times New Roman" w:hAnsi="Times New Roman" w:cs="Times New Roman"/>
                <w:sz w:val="24"/>
                <w:szCs w:val="24"/>
              </w:rPr>
            </w:pPr>
            <w:r>
              <w:rPr>
                <w:rFonts w:ascii="Times New Roman" w:hAnsi="Times New Roman" w:cs="Times New Roman"/>
                <w:sz w:val="24"/>
                <w:szCs w:val="24"/>
              </w:rPr>
              <w:t>.35</w:t>
            </w:r>
          </w:p>
        </w:tc>
        <w:tc>
          <w:tcPr>
            <w:tcW w:w="1605"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379.17</w:t>
            </w:r>
          </w:p>
        </w:tc>
        <w:tc>
          <w:tcPr>
            <w:tcW w:w="1680"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15.80%</w:t>
            </w:r>
          </w:p>
        </w:tc>
        <w:tc>
          <w:tcPr>
            <w:tcW w:w="1594"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1588.27</w:t>
            </w:r>
          </w:p>
        </w:tc>
        <w:tc>
          <w:tcPr>
            <w:tcW w:w="1350"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1601.09</w:t>
            </w:r>
          </w:p>
        </w:tc>
      </w:tr>
      <w:tr w:rsidR="005C6188" w:rsidTr="005C6188">
        <w:tc>
          <w:tcPr>
            <w:tcW w:w="1601"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ARIMA</w:t>
            </w:r>
          </w:p>
        </w:tc>
        <w:tc>
          <w:tcPr>
            <w:tcW w:w="1520" w:type="dxa"/>
          </w:tcPr>
          <w:p w:rsidR="005C6188" w:rsidRDefault="00322F3F" w:rsidP="003561E5">
            <w:pPr>
              <w:rPr>
                <w:rFonts w:ascii="Times New Roman" w:hAnsi="Times New Roman" w:cs="Times New Roman"/>
                <w:sz w:val="24"/>
                <w:szCs w:val="24"/>
              </w:rPr>
            </w:pPr>
            <w:r>
              <w:rPr>
                <w:rFonts w:ascii="Times New Roman" w:hAnsi="Times New Roman" w:cs="Times New Roman"/>
                <w:sz w:val="24"/>
                <w:szCs w:val="24"/>
              </w:rPr>
              <w:t>.36</w:t>
            </w:r>
          </w:p>
        </w:tc>
        <w:tc>
          <w:tcPr>
            <w:tcW w:w="1605"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396.30</w:t>
            </w:r>
          </w:p>
        </w:tc>
        <w:tc>
          <w:tcPr>
            <w:tcW w:w="1680"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18.32%</w:t>
            </w:r>
          </w:p>
        </w:tc>
        <w:tc>
          <w:tcPr>
            <w:tcW w:w="1594"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1413.88</w:t>
            </w:r>
          </w:p>
        </w:tc>
        <w:tc>
          <w:tcPr>
            <w:tcW w:w="1350" w:type="dxa"/>
          </w:tcPr>
          <w:p w:rsidR="005C6188" w:rsidRDefault="005C6188" w:rsidP="003561E5">
            <w:pPr>
              <w:rPr>
                <w:rFonts w:ascii="Times New Roman" w:hAnsi="Times New Roman" w:cs="Times New Roman"/>
                <w:sz w:val="24"/>
                <w:szCs w:val="24"/>
              </w:rPr>
            </w:pPr>
            <w:r>
              <w:rPr>
                <w:rFonts w:ascii="Times New Roman" w:hAnsi="Times New Roman" w:cs="Times New Roman"/>
                <w:sz w:val="24"/>
                <w:szCs w:val="24"/>
              </w:rPr>
              <w:t>1414.14</w:t>
            </w:r>
          </w:p>
        </w:tc>
      </w:tr>
    </w:tbl>
    <w:p w:rsidR="005C6188" w:rsidRDefault="005C6188" w:rsidP="003561E5">
      <w:pPr>
        <w:rPr>
          <w:rFonts w:ascii="Times New Roman" w:hAnsi="Times New Roman" w:cs="Times New Roman"/>
          <w:sz w:val="24"/>
          <w:szCs w:val="24"/>
        </w:rPr>
      </w:pPr>
    </w:p>
    <w:p w:rsidR="005C6188" w:rsidRDefault="005112FF" w:rsidP="00322F3F">
      <w:pPr>
        <w:rPr>
          <w:rFonts w:ascii="Times New Roman" w:hAnsi="Times New Roman" w:cs="Times New Roman"/>
          <w:sz w:val="24"/>
          <w:szCs w:val="24"/>
        </w:rPr>
      </w:pPr>
      <w:r>
        <w:rPr>
          <w:rFonts w:ascii="Times New Roman" w:hAnsi="Times New Roman" w:cs="Times New Roman"/>
          <w:sz w:val="24"/>
          <w:szCs w:val="24"/>
        </w:rPr>
        <w:tab/>
        <w:t xml:space="preserve">An explanation of these accuracy measures is in order. </w:t>
      </w:r>
      <w:proofErr w:type="spellStart"/>
      <w:r>
        <w:rPr>
          <w:rFonts w:ascii="Times New Roman" w:hAnsi="Times New Roman" w:cs="Times New Roman"/>
          <w:sz w:val="24"/>
          <w:szCs w:val="24"/>
        </w:rPr>
        <w:t>Kabacoff</w:t>
      </w:r>
      <w:proofErr w:type="spellEnd"/>
      <w:r>
        <w:rPr>
          <w:rFonts w:ascii="Times New Roman" w:hAnsi="Times New Roman" w:cs="Times New Roman"/>
          <w:sz w:val="24"/>
          <w:szCs w:val="24"/>
        </w:rPr>
        <w:t xml:space="preserve"> describes the Mean Absolute Scaled Error as “</w:t>
      </w:r>
      <w:r w:rsidR="00322F3F" w:rsidRPr="005112FF">
        <w:rPr>
          <w:rFonts w:ascii="Times New Roman" w:hAnsi="Times New Roman" w:cs="Times New Roman"/>
          <w:sz w:val="24"/>
          <w:szCs w:val="24"/>
        </w:rPr>
        <w:t>the most recent accuracy measure and is used to compa</w:t>
      </w:r>
      <w:r>
        <w:rPr>
          <w:rFonts w:ascii="Times New Roman" w:hAnsi="Times New Roman" w:cs="Times New Roman"/>
          <w:sz w:val="24"/>
          <w:szCs w:val="24"/>
        </w:rPr>
        <w:t>re the forecast accuracy across time series on different scales” (p</w:t>
      </w:r>
      <w:r w:rsidR="00322F3F" w:rsidRPr="005112FF">
        <w:rPr>
          <w:rFonts w:ascii="Times New Roman" w:hAnsi="Times New Roman" w:cs="Times New Roman"/>
          <w:sz w:val="24"/>
          <w:szCs w:val="24"/>
        </w:rPr>
        <w:t xml:space="preserve"> 355</w:t>
      </w:r>
      <w:r>
        <w:rPr>
          <w:rFonts w:ascii="Times New Roman" w:hAnsi="Times New Roman" w:cs="Times New Roman"/>
          <w:sz w:val="24"/>
          <w:szCs w:val="24"/>
        </w:rPr>
        <w:t>). The Root Mean Error Squared describes the magnitude of the errors, and the Mean Absolute Percentage Error represents error as a percentage (</w:t>
      </w:r>
      <w:proofErr w:type="spellStart"/>
      <w:r>
        <w:rPr>
          <w:rFonts w:ascii="Times New Roman" w:hAnsi="Times New Roman" w:cs="Times New Roman"/>
          <w:sz w:val="24"/>
          <w:szCs w:val="24"/>
        </w:rPr>
        <w:t>Bukralia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In all cases, the lower the number, the less error the model has. AIC and BIC are measures of the goodness of fit and the simplicity of the model (</w:t>
      </w:r>
      <w:proofErr w:type="spellStart"/>
      <w:r>
        <w:rPr>
          <w:rFonts w:ascii="Times New Roman" w:hAnsi="Times New Roman" w:cs="Times New Roman"/>
          <w:sz w:val="24"/>
          <w:szCs w:val="24"/>
        </w:rPr>
        <w:t>Keshvani</w:t>
      </w:r>
      <w:proofErr w:type="spellEnd"/>
      <w:r>
        <w:rPr>
          <w:rFonts w:ascii="Times New Roman" w:hAnsi="Times New Roman" w:cs="Times New Roman"/>
          <w:sz w:val="24"/>
          <w:szCs w:val="24"/>
        </w:rPr>
        <w:t>, 2013).</w:t>
      </w:r>
      <w:r w:rsidR="000768DE">
        <w:rPr>
          <w:rFonts w:ascii="Times New Roman" w:hAnsi="Times New Roman" w:cs="Times New Roman"/>
          <w:sz w:val="24"/>
          <w:szCs w:val="24"/>
        </w:rPr>
        <w:t xml:space="preserve"> However, because the </w:t>
      </w:r>
      <w:proofErr w:type="spellStart"/>
      <w:r w:rsidR="000768DE">
        <w:rPr>
          <w:rFonts w:ascii="Times New Roman" w:hAnsi="Times New Roman" w:cs="Times New Roman"/>
          <w:sz w:val="24"/>
          <w:szCs w:val="24"/>
        </w:rPr>
        <w:t>ets</w:t>
      </w:r>
      <w:proofErr w:type="spellEnd"/>
      <w:r w:rsidR="000768DE">
        <w:rPr>
          <w:rFonts w:ascii="Times New Roman" w:hAnsi="Times New Roman" w:cs="Times New Roman"/>
          <w:sz w:val="24"/>
          <w:szCs w:val="24"/>
        </w:rPr>
        <w:t xml:space="preserve"> model and the </w:t>
      </w:r>
      <w:proofErr w:type="spellStart"/>
      <w:r w:rsidR="000768DE">
        <w:rPr>
          <w:rFonts w:ascii="Times New Roman" w:hAnsi="Times New Roman" w:cs="Times New Roman"/>
          <w:sz w:val="24"/>
          <w:szCs w:val="24"/>
        </w:rPr>
        <w:t>arima</w:t>
      </w:r>
      <w:proofErr w:type="spellEnd"/>
      <w:r w:rsidR="000768DE">
        <w:rPr>
          <w:rFonts w:ascii="Times New Roman" w:hAnsi="Times New Roman" w:cs="Times New Roman"/>
          <w:sz w:val="24"/>
          <w:szCs w:val="24"/>
        </w:rPr>
        <w:t xml:space="preserve"> model treat initial values</w:t>
      </w:r>
      <w:r w:rsidR="003F466A">
        <w:rPr>
          <w:rFonts w:ascii="Times New Roman" w:hAnsi="Times New Roman" w:cs="Times New Roman"/>
          <w:sz w:val="24"/>
          <w:szCs w:val="24"/>
        </w:rPr>
        <w:t xml:space="preserve"> differently, AIC is not a valuable</w:t>
      </w:r>
      <w:r w:rsidR="000768DE">
        <w:rPr>
          <w:rFonts w:ascii="Times New Roman" w:hAnsi="Times New Roman" w:cs="Times New Roman"/>
          <w:sz w:val="24"/>
          <w:szCs w:val="24"/>
        </w:rPr>
        <w:t xml:space="preserve"> tool for comparing the two models (Hyndman, 2013). Therefore, in comparing these two models, the Holt model appears to be the more accurate of the two.</w:t>
      </w:r>
    </w:p>
    <w:p w:rsidR="000768DE" w:rsidRDefault="000768DE" w:rsidP="00322F3F">
      <w:pPr>
        <w:rPr>
          <w:rFonts w:ascii="Times New Roman" w:hAnsi="Times New Roman" w:cs="Times New Roman"/>
          <w:b/>
          <w:sz w:val="24"/>
          <w:szCs w:val="24"/>
        </w:rPr>
      </w:pPr>
      <w:r w:rsidRPr="000768DE">
        <w:rPr>
          <w:rFonts w:ascii="Times New Roman" w:hAnsi="Times New Roman" w:cs="Times New Roman"/>
          <w:b/>
          <w:sz w:val="24"/>
          <w:szCs w:val="24"/>
        </w:rPr>
        <w:t>Recommendations</w:t>
      </w:r>
      <w:r>
        <w:rPr>
          <w:rFonts w:ascii="Times New Roman" w:hAnsi="Times New Roman" w:cs="Times New Roman"/>
          <w:b/>
          <w:sz w:val="24"/>
          <w:szCs w:val="24"/>
        </w:rPr>
        <w:t xml:space="preserve"> for Fargo Health Group</w:t>
      </w:r>
    </w:p>
    <w:p w:rsidR="000768DE" w:rsidRDefault="000768DE" w:rsidP="00322F3F">
      <w:pPr>
        <w:rPr>
          <w:rFonts w:ascii="Times New Roman" w:hAnsi="Times New Roman" w:cs="Times New Roman"/>
          <w:sz w:val="24"/>
          <w:szCs w:val="24"/>
        </w:rPr>
      </w:pPr>
      <w:r>
        <w:rPr>
          <w:rFonts w:ascii="Times New Roman" w:hAnsi="Times New Roman" w:cs="Times New Roman"/>
          <w:b/>
          <w:sz w:val="24"/>
          <w:szCs w:val="24"/>
        </w:rPr>
        <w:tab/>
      </w:r>
      <w:r w:rsidR="00B2255B">
        <w:rPr>
          <w:rFonts w:ascii="Times New Roman" w:hAnsi="Times New Roman" w:cs="Times New Roman"/>
          <w:sz w:val="24"/>
          <w:szCs w:val="24"/>
        </w:rPr>
        <w:t xml:space="preserve">Based on the predictive models, Fargo Health Group should be prepared for a gradually increasing number of exams over the next 12 months. The historical max workload that the Abbeville clinic has experienced is 6094 exams in October of 2013. </w:t>
      </w:r>
      <w:r w:rsidR="003F466A">
        <w:rPr>
          <w:rFonts w:ascii="Times New Roman" w:hAnsi="Times New Roman" w:cs="Times New Roman"/>
          <w:sz w:val="24"/>
          <w:szCs w:val="24"/>
        </w:rPr>
        <w:t>The Holt model indicates that there’s an 80% certainty Abbeville will exceed its 6094 record by August of 2014 (with an estimated low threshold of exams at 6164). However, the actual number of exams that</w:t>
      </w:r>
      <w:r w:rsidR="000705A9">
        <w:rPr>
          <w:rFonts w:ascii="Times New Roman" w:hAnsi="Times New Roman" w:cs="Times New Roman"/>
          <w:sz w:val="24"/>
          <w:szCs w:val="24"/>
        </w:rPr>
        <w:t xml:space="preserve"> month could be as high as 7266. </w:t>
      </w:r>
      <w:r w:rsidR="003F466A">
        <w:rPr>
          <w:rFonts w:ascii="Times New Roman" w:hAnsi="Times New Roman" w:cs="Times New Roman"/>
          <w:sz w:val="24"/>
          <w:szCs w:val="24"/>
        </w:rPr>
        <w:t>You can see that there is a wide range of possible exam demand within the 80% confidence interval.</w:t>
      </w:r>
    </w:p>
    <w:p w:rsidR="00606BD8" w:rsidRDefault="00606BD8" w:rsidP="00322F3F">
      <w:pPr>
        <w:rPr>
          <w:rFonts w:ascii="Times New Roman" w:hAnsi="Times New Roman" w:cs="Times New Roman"/>
          <w:sz w:val="24"/>
          <w:szCs w:val="24"/>
        </w:rPr>
      </w:pPr>
      <w:r>
        <w:rPr>
          <w:rFonts w:ascii="Times New Roman" w:hAnsi="Times New Roman" w:cs="Times New Roman"/>
          <w:sz w:val="24"/>
          <w:szCs w:val="24"/>
        </w:rPr>
        <w:tab/>
        <w:t>This project only encompassed a single health center, and a single type of examination. To fully understand physician scheduling needs, I recommend that Fargo Health Group expand their data analysis to include all health centers and all exam types. A forecast that predicts demand based on center and exam type may give a more accurate representation of true need.</w:t>
      </w:r>
    </w:p>
    <w:p w:rsidR="00F13EED" w:rsidRDefault="000705A9" w:rsidP="00322F3F">
      <w:pPr>
        <w:rPr>
          <w:rFonts w:ascii="Times New Roman" w:hAnsi="Times New Roman" w:cs="Times New Roman"/>
          <w:sz w:val="24"/>
          <w:szCs w:val="24"/>
        </w:rPr>
      </w:pPr>
      <w:r>
        <w:rPr>
          <w:rFonts w:ascii="Times New Roman" w:hAnsi="Times New Roman" w:cs="Times New Roman"/>
          <w:sz w:val="24"/>
          <w:szCs w:val="24"/>
        </w:rPr>
        <w:tab/>
        <w:t xml:space="preserve">Perhaps the most important recommendation for Fargo Health Group is an increased emphasis on accurate data collection and repeated model-fitting as newer, more accurate data is collected. In the initial dataset, </w:t>
      </w:r>
      <w:r w:rsidR="006D5165">
        <w:rPr>
          <w:rFonts w:ascii="Times New Roman" w:hAnsi="Times New Roman" w:cs="Times New Roman"/>
          <w:sz w:val="24"/>
          <w:szCs w:val="24"/>
        </w:rPr>
        <w:t>for the months that individual data was given, there was a 1.5% duplicate rate in one dataset and a 3.7% duplicate rate in another. Additionally, there was a 6.2% data entry error rate for the aggregate data (not including those months for which data was not a</w:t>
      </w:r>
      <w:r w:rsidR="00EE4350">
        <w:rPr>
          <w:rFonts w:ascii="Times New Roman" w:hAnsi="Times New Roman" w:cs="Times New Roman"/>
          <w:sz w:val="24"/>
          <w:szCs w:val="24"/>
        </w:rPr>
        <w:t xml:space="preserve">vailable). These error rates aren’t terrible. But, the more errors can be reduced, the more accurate the predictions will be. </w:t>
      </w:r>
      <w:r w:rsidR="00F13EED">
        <w:rPr>
          <w:rFonts w:ascii="Times New Roman" w:hAnsi="Times New Roman" w:cs="Times New Roman"/>
          <w:sz w:val="24"/>
          <w:szCs w:val="24"/>
        </w:rPr>
        <w:t>The following recommendations can improve data accuracy:</w:t>
      </w:r>
    </w:p>
    <w:p w:rsidR="0057396C" w:rsidRDefault="0057396C" w:rsidP="0057396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Develop a data governance policy. Data governance will improve the quality of the data, as well as defining roles for data access and data lifecycle and setting your organizations data principles. (Khatri &amp; Brown, 2010)</w:t>
      </w:r>
    </w:p>
    <w:p w:rsidR="00F13EED" w:rsidRDefault="00F13EED" w:rsidP="00F13E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Use a single, consolidated system of record for tracking </w:t>
      </w:r>
      <w:r w:rsidR="00670D63">
        <w:rPr>
          <w:rFonts w:ascii="Times New Roman" w:hAnsi="Times New Roman" w:cs="Times New Roman"/>
          <w:sz w:val="24"/>
          <w:szCs w:val="24"/>
        </w:rPr>
        <w:t>patient visits. Most modern health clinics have implemented patient-tracking software that functions across all clinics in the system. Software such as this will greatly improve data accuracy.</w:t>
      </w:r>
    </w:p>
    <w:p w:rsidR="0057396C" w:rsidRDefault="0057396C" w:rsidP="00F13E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Have a data custodian assigned, who has primary responsibility for the accuracy of data.</w:t>
      </w:r>
    </w:p>
    <w:p w:rsidR="000705A9" w:rsidRPr="00F13EED" w:rsidRDefault="00EE4350" w:rsidP="00F13EED">
      <w:pPr>
        <w:ind w:firstLine="720"/>
        <w:rPr>
          <w:rFonts w:ascii="Times New Roman" w:hAnsi="Times New Roman" w:cs="Times New Roman"/>
          <w:sz w:val="24"/>
          <w:szCs w:val="24"/>
        </w:rPr>
      </w:pPr>
      <w:r w:rsidRPr="00F13EED">
        <w:rPr>
          <w:rFonts w:ascii="Times New Roman" w:hAnsi="Times New Roman" w:cs="Times New Roman"/>
          <w:sz w:val="24"/>
          <w:szCs w:val="24"/>
        </w:rPr>
        <w:t>I would recommend continuing to collect data on a monthly basis</w:t>
      </w:r>
      <w:r w:rsidR="0057396C">
        <w:rPr>
          <w:rFonts w:ascii="Times New Roman" w:hAnsi="Times New Roman" w:cs="Times New Roman"/>
          <w:sz w:val="24"/>
          <w:szCs w:val="24"/>
        </w:rPr>
        <w:t xml:space="preserve"> and running 3 month predictions, because </w:t>
      </w:r>
      <w:r w:rsidRPr="00F13EED">
        <w:rPr>
          <w:rFonts w:ascii="Times New Roman" w:hAnsi="Times New Roman" w:cs="Times New Roman"/>
          <w:sz w:val="24"/>
          <w:szCs w:val="24"/>
        </w:rPr>
        <w:t xml:space="preserve">time series predictions are most accurate in the short term. </w:t>
      </w:r>
    </w:p>
    <w:p w:rsidR="00EE4350" w:rsidRDefault="00EE4350" w:rsidP="004E41BD">
      <w:pPr>
        <w:jc w:val="center"/>
        <w:rPr>
          <w:rFonts w:ascii="Times New Roman" w:hAnsi="Times New Roman" w:cs="Times New Roman"/>
          <w:b/>
          <w:sz w:val="24"/>
          <w:szCs w:val="24"/>
        </w:rPr>
      </w:pPr>
      <w:r w:rsidRPr="00EE4350">
        <w:rPr>
          <w:rFonts w:ascii="Times New Roman" w:hAnsi="Times New Roman" w:cs="Times New Roman"/>
          <w:b/>
          <w:sz w:val="24"/>
          <w:szCs w:val="24"/>
        </w:rPr>
        <w:t>Ethics</w:t>
      </w:r>
    </w:p>
    <w:p w:rsidR="00EE4350" w:rsidRDefault="00EE4350" w:rsidP="00322F3F">
      <w:pPr>
        <w:rPr>
          <w:rFonts w:ascii="Times New Roman" w:hAnsi="Times New Roman" w:cs="Times New Roman"/>
          <w:sz w:val="24"/>
          <w:szCs w:val="24"/>
        </w:rPr>
      </w:pPr>
      <w:r>
        <w:rPr>
          <w:rFonts w:ascii="Times New Roman" w:hAnsi="Times New Roman" w:cs="Times New Roman"/>
          <w:sz w:val="24"/>
          <w:szCs w:val="24"/>
        </w:rPr>
        <w:tab/>
      </w:r>
      <w:r w:rsidR="00502E34">
        <w:rPr>
          <w:rFonts w:ascii="Times New Roman" w:hAnsi="Times New Roman" w:cs="Times New Roman"/>
          <w:sz w:val="24"/>
          <w:szCs w:val="24"/>
        </w:rPr>
        <w:t>I was asked to comment on the ethical implications of this project. Ethics in the medical</w:t>
      </w:r>
      <w:r w:rsidR="00B037FD">
        <w:rPr>
          <w:rFonts w:ascii="Times New Roman" w:hAnsi="Times New Roman" w:cs="Times New Roman"/>
          <w:sz w:val="24"/>
          <w:szCs w:val="24"/>
        </w:rPr>
        <w:t xml:space="preserve"> records</w:t>
      </w:r>
      <w:r w:rsidR="00502E34">
        <w:rPr>
          <w:rFonts w:ascii="Times New Roman" w:hAnsi="Times New Roman" w:cs="Times New Roman"/>
          <w:sz w:val="24"/>
          <w:szCs w:val="24"/>
        </w:rPr>
        <w:t xml:space="preserve"> community is governed by HIPAA, the Health Insurance Portability and Accountability Act of 1996. HIPAA ensures the privacy of all information “that identifies the individual or for which there is a reasonable basis to believe it can be used to identify the individual” (U.S. Department of Health &amp; Human Services, </w:t>
      </w:r>
      <w:proofErr w:type="spellStart"/>
      <w:r w:rsidR="00502E34">
        <w:rPr>
          <w:rFonts w:ascii="Times New Roman" w:hAnsi="Times New Roman" w:cs="Times New Roman"/>
          <w:sz w:val="24"/>
          <w:szCs w:val="24"/>
        </w:rPr>
        <w:t>n.d.</w:t>
      </w:r>
      <w:proofErr w:type="spellEnd"/>
      <w:r w:rsidR="00857D6F">
        <w:rPr>
          <w:rFonts w:ascii="Times New Roman" w:hAnsi="Times New Roman" w:cs="Times New Roman"/>
          <w:sz w:val="24"/>
          <w:szCs w:val="24"/>
        </w:rPr>
        <w:t>, What Information is Protected section, para. 1</w:t>
      </w:r>
      <w:r w:rsidR="00502E34">
        <w:rPr>
          <w:rFonts w:ascii="Times New Roman" w:hAnsi="Times New Roman" w:cs="Times New Roman"/>
          <w:sz w:val="24"/>
          <w:szCs w:val="24"/>
        </w:rPr>
        <w:t>). While, on the surface, the data I was provided may not appear to be personally identifiable, with the advent of machine learning and the proliferation of social media, the data may very well be personally identifiable.</w:t>
      </w:r>
      <w:r w:rsidR="00A604EC">
        <w:rPr>
          <w:rFonts w:ascii="Times New Roman" w:hAnsi="Times New Roman" w:cs="Times New Roman"/>
          <w:sz w:val="24"/>
          <w:szCs w:val="24"/>
        </w:rPr>
        <w:t xml:space="preserve"> I received individualized data that contained date of exam, condition codes, and location of the exam. If an individual in our dataset posted, “Saw my doc today – the ticker’s all right!” on Facebook or Twitter, it would be possible to use the date of the post, their location, and the information in our dataset to potentially link them to a specific exam type or specific diagnosis (</w:t>
      </w:r>
      <w:proofErr w:type="spellStart"/>
      <w:r w:rsidR="00A604EC">
        <w:rPr>
          <w:rFonts w:ascii="Times New Roman" w:hAnsi="Times New Roman" w:cs="Times New Roman"/>
          <w:sz w:val="24"/>
          <w:szCs w:val="24"/>
        </w:rPr>
        <w:t>Daries</w:t>
      </w:r>
      <w:proofErr w:type="spellEnd"/>
      <w:r w:rsidR="00857D6F">
        <w:rPr>
          <w:rFonts w:ascii="Times New Roman" w:hAnsi="Times New Roman" w:cs="Times New Roman"/>
          <w:sz w:val="24"/>
          <w:szCs w:val="24"/>
        </w:rPr>
        <w:t>, et al.</w:t>
      </w:r>
      <w:r w:rsidR="00A604EC">
        <w:rPr>
          <w:rFonts w:ascii="Times New Roman" w:hAnsi="Times New Roman" w:cs="Times New Roman"/>
          <w:sz w:val="24"/>
          <w:szCs w:val="24"/>
        </w:rPr>
        <w:t xml:space="preserve">, 2014). This becomes a significant issue for HIPAA compliance. However, there are “no restrictions on the use or disclosure of de-identified health information” (U.S. Department of Health &amp; Human Services, </w:t>
      </w:r>
      <w:proofErr w:type="spellStart"/>
      <w:r w:rsidR="00A604EC">
        <w:rPr>
          <w:rFonts w:ascii="Times New Roman" w:hAnsi="Times New Roman" w:cs="Times New Roman"/>
          <w:sz w:val="24"/>
          <w:szCs w:val="24"/>
        </w:rPr>
        <w:t>n.d.</w:t>
      </w:r>
      <w:proofErr w:type="spellEnd"/>
      <w:r w:rsidR="00857D6F">
        <w:rPr>
          <w:rFonts w:ascii="Times New Roman" w:hAnsi="Times New Roman" w:cs="Times New Roman"/>
          <w:sz w:val="24"/>
          <w:szCs w:val="24"/>
        </w:rPr>
        <w:t>, De-Identified Health Information section, para. 1</w:t>
      </w:r>
      <w:r w:rsidR="00A604EC">
        <w:rPr>
          <w:rFonts w:ascii="Times New Roman" w:hAnsi="Times New Roman" w:cs="Times New Roman"/>
          <w:sz w:val="24"/>
          <w:szCs w:val="24"/>
        </w:rPr>
        <w:t xml:space="preserve">). Therefore, the aggregate data provided in the Abbeville, LA spreadsheet, which consists merely of total counts of heart-related exams per month, would not violate the privacy laws for HIPAA. I recommend that Fargo Health employ an internal employee to clean </w:t>
      </w:r>
      <w:r w:rsidR="00857D6F">
        <w:rPr>
          <w:rFonts w:ascii="Times New Roman" w:hAnsi="Times New Roman" w:cs="Times New Roman"/>
          <w:sz w:val="24"/>
          <w:szCs w:val="24"/>
        </w:rPr>
        <w:t xml:space="preserve">and aggregate </w:t>
      </w:r>
      <w:r w:rsidR="00A604EC">
        <w:rPr>
          <w:rFonts w:ascii="Times New Roman" w:hAnsi="Times New Roman" w:cs="Times New Roman"/>
          <w:sz w:val="24"/>
          <w:szCs w:val="24"/>
        </w:rPr>
        <w:t xml:space="preserve">the data prior to </w:t>
      </w:r>
      <w:r w:rsidR="00857D6F">
        <w:rPr>
          <w:rFonts w:ascii="Times New Roman" w:hAnsi="Times New Roman" w:cs="Times New Roman"/>
          <w:sz w:val="24"/>
          <w:szCs w:val="24"/>
        </w:rPr>
        <w:t>engaging with an outside consultant to generate models and forecasts.</w:t>
      </w:r>
    </w:p>
    <w:p w:rsidR="00857D6F" w:rsidRDefault="00857D6F" w:rsidP="00322F3F">
      <w:pPr>
        <w:rPr>
          <w:rFonts w:ascii="Times New Roman" w:hAnsi="Times New Roman" w:cs="Times New Roman"/>
          <w:sz w:val="24"/>
          <w:szCs w:val="24"/>
        </w:rPr>
      </w:pPr>
      <w:r>
        <w:rPr>
          <w:rFonts w:ascii="Times New Roman" w:hAnsi="Times New Roman" w:cs="Times New Roman"/>
          <w:sz w:val="24"/>
          <w:szCs w:val="24"/>
        </w:rPr>
        <w:tab/>
        <w:t xml:space="preserve">Privacy is not the only concern. Another key component of ethical data science in the health services field is informed consent. The U.S. Department of Health and Human Services requires that investigators “obtain the legally effective informed consent of the subject” (HHS, </w:t>
      </w:r>
      <w:proofErr w:type="spellStart"/>
      <w:r>
        <w:rPr>
          <w:rFonts w:ascii="Times New Roman" w:hAnsi="Times New Roman" w:cs="Times New Roman"/>
          <w:sz w:val="24"/>
          <w:szCs w:val="24"/>
        </w:rPr>
        <w:t>n.d.b</w:t>
      </w:r>
      <w:proofErr w:type="spellEnd"/>
      <w:r>
        <w:rPr>
          <w:rFonts w:ascii="Times New Roman" w:hAnsi="Times New Roman" w:cs="Times New Roman"/>
          <w:sz w:val="24"/>
          <w:szCs w:val="24"/>
        </w:rPr>
        <w:t>, para. 1) in most circumstances. I received no information as to whether or not informed consent was obtained. I would strongly encourage Fargo Health Department to ensure that all patients are signing informed consent forms that allow for predictive analysis.</w:t>
      </w:r>
    </w:p>
    <w:p w:rsidR="002F1F4C" w:rsidRDefault="002F1F4C" w:rsidP="00322F3F">
      <w:pPr>
        <w:rPr>
          <w:rFonts w:ascii="Times New Roman" w:hAnsi="Times New Roman" w:cs="Times New Roman"/>
          <w:sz w:val="24"/>
          <w:szCs w:val="24"/>
        </w:rPr>
      </w:pPr>
      <w:r>
        <w:rPr>
          <w:rFonts w:ascii="Times New Roman" w:hAnsi="Times New Roman" w:cs="Times New Roman"/>
          <w:sz w:val="24"/>
          <w:szCs w:val="24"/>
        </w:rPr>
        <w:tab/>
        <w:t xml:space="preserve">Assuming both privacy and consent are covered, it’s still important to understand what Fargo Health Group intends to do with this analysis. In a best-case scenario, </w:t>
      </w:r>
      <w:r w:rsidR="0057396C">
        <w:rPr>
          <w:rFonts w:ascii="Times New Roman" w:hAnsi="Times New Roman" w:cs="Times New Roman"/>
          <w:sz w:val="24"/>
          <w:szCs w:val="24"/>
        </w:rPr>
        <w:t>the analysis will be used</w:t>
      </w:r>
      <w:r>
        <w:rPr>
          <w:rFonts w:ascii="Times New Roman" w:hAnsi="Times New Roman" w:cs="Times New Roman"/>
          <w:sz w:val="24"/>
          <w:szCs w:val="24"/>
        </w:rPr>
        <w:t xml:space="preserve"> to ensure that enough physicians are on staff to cover the increasing needs of disability examination patients. In the worst case scenario, this analysis </w:t>
      </w:r>
      <w:r w:rsidR="0057396C">
        <w:rPr>
          <w:rFonts w:ascii="Times New Roman" w:hAnsi="Times New Roman" w:cs="Times New Roman"/>
          <w:sz w:val="24"/>
          <w:szCs w:val="24"/>
        </w:rPr>
        <w:t xml:space="preserve">is used </w:t>
      </w:r>
      <w:r>
        <w:rPr>
          <w:rFonts w:ascii="Times New Roman" w:hAnsi="Times New Roman" w:cs="Times New Roman"/>
          <w:sz w:val="24"/>
          <w:szCs w:val="24"/>
        </w:rPr>
        <w:t>to determine that disability examinations are too time-consuming and costly and availability of disability examinations</w:t>
      </w:r>
      <w:r w:rsidR="0057396C">
        <w:rPr>
          <w:rFonts w:ascii="Times New Roman" w:hAnsi="Times New Roman" w:cs="Times New Roman"/>
          <w:sz w:val="24"/>
          <w:szCs w:val="24"/>
        </w:rPr>
        <w:t xml:space="preserve"> is limited</w:t>
      </w:r>
      <w:r>
        <w:rPr>
          <w:rFonts w:ascii="Times New Roman" w:hAnsi="Times New Roman" w:cs="Times New Roman"/>
          <w:sz w:val="24"/>
          <w:szCs w:val="24"/>
        </w:rPr>
        <w:t xml:space="preserve"> at one or more of their clinics. The latter scenario could be seen as discriminatory. The </w:t>
      </w:r>
      <w:r>
        <w:rPr>
          <w:rFonts w:ascii="Times New Roman" w:hAnsi="Times New Roman" w:cs="Times New Roman"/>
          <w:sz w:val="24"/>
          <w:szCs w:val="24"/>
        </w:rPr>
        <w:lastRenderedPageBreak/>
        <w:t xml:space="preserve">Americans with Disabilities act is a comprehensive piece of </w:t>
      </w:r>
      <w:r w:rsidR="0057396C">
        <w:rPr>
          <w:rFonts w:ascii="Times New Roman" w:hAnsi="Times New Roman" w:cs="Times New Roman"/>
          <w:sz w:val="24"/>
          <w:szCs w:val="24"/>
        </w:rPr>
        <w:t>disability-related legislation</w:t>
      </w:r>
      <w:r>
        <w:rPr>
          <w:rFonts w:ascii="Times New Roman" w:hAnsi="Times New Roman" w:cs="Times New Roman"/>
          <w:sz w:val="24"/>
          <w:szCs w:val="24"/>
        </w:rPr>
        <w:t xml:space="preserve">. Most relevant to our study, the act requires that “health care providers provide individuals with disabilities full and equal access to their health care services and facilities” (ADA National Network,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Introduction section, para 1). If the data in this analysis was used to funnel disability examinations to specific locations, thereby limi</w:t>
      </w:r>
      <w:r w:rsidR="0057396C">
        <w:rPr>
          <w:rFonts w:ascii="Times New Roman" w:hAnsi="Times New Roman" w:cs="Times New Roman"/>
          <w:sz w:val="24"/>
          <w:szCs w:val="24"/>
        </w:rPr>
        <w:t>ting access at other locations, it is an ethical problem</w:t>
      </w:r>
      <w:r>
        <w:rPr>
          <w:rFonts w:ascii="Times New Roman" w:hAnsi="Times New Roman" w:cs="Times New Roman"/>
          <w:sz w:val="24"/>
          <w:szCs w:val="24"/>
        </w:rPr>
        <w:t>. Though it may be going too far to say that Fargo Health group has a moral obligation to meet the growing demand for disability examinations, it is not unreasonable to expect them to use this information to better prepare themselves for meeting this growing need. (There is never any one clear and simple decision in data analysis for business needs. This is just one component of their overall business plan, and meeting this need should not be done at the expense of meeting the needs of other patients.)</w:t>
      </w:r>
    </w:p>
    <w:p w:rsidR="00BD73A1" w:rsidRDefault="00BD73A1" w:rsidP="00322F3F">
      <w:pPr>
        <w:rPr>
          <w:rFonts w:ascii="Times New Roman" w:hAnsi="Times New Roman" w:cs="Times New Roman"/>
          <w:sz w:val="24"/>
          <w:szCs w:val="24"/>
        </w:rPr>
      </w:pPr>
      <w:r>
        <w:rPr>
          <w:rFonts w:ascii="Times New Roman" w:hAnsi="Times New Roman" w:cs="Times New Roman"/>
          <w:sz w:val="24"/>
          <w:szCs w:val="24"/>
        </w:rPr>
        <w:tab/>
        <w:t xml:space="preserve">In any data analytics project, accountability is a key component of a successful data project. In this project, the client was not available to answer questions or clarify assumptions made by the data scientist. That is a recipe for failure. The best data science projects are those in which all members are actively engaged and there is ongoing dialogue as questions arise. </w:t>
      </w:r>
      <w:r w:rsidR="00606BD8">
        <w:rPr>
          <w:rFonts w:ascii="Times New Roman" w:hAnsi="Times New Roman" w:cs="Times New Roman"/>
          <w:sz w:val="24"/>
          <w:szCs w:val="24"/>
        </w:rPr>
        <w:t>Ultimately, accountability falls on the shoulders of the project sponsor, who should be working closely with the data scientist to ensure that accurate, on-going prediction can be made.</w:t>
      </w:r>
    </w:p>
    <w:p w:rsidR="00606BD8" w:rsidRPr="00606BD8" w:rsidRDefault="00606BD8" w:rsidP="004E41BD">
      <w:pPr>
        <w:jc w:val="center"/>
        <w:rPr>
          <w:rFonts w:ascii="Times New Roman" w:hAnsi="Times New Roman" w:cs="Times New Roman"/>
          <w:b/>
          <w:sz w:val="24"/>
          <w:szCs w:val="24"/>
        </w:rPr>
      </w:pPr>
      <w:r w:rsidRPr="00606BD8">
        <w:rPr>
          <w:rFonts w:ascii="Times New Roman" w:hAnsi="Times New Roman" w:cs="Times New Roman"/>
          <w:b/>
          <w:sz w:val="24"/>
          <w:szCs w:val="24"/>
        </w:rPr>
        <w:t>Final Thoughts</w:t>
      </w:r>
    </w:p>
    <w:p w:rsidR="00606BD8" w:rsidRDefault="00606BD8" w:rsidP="00322F3F">
      <w:pPr>
        <w:rPr>
          <w:rFonts w:ascii="Times New Roman" w:hAnsi="Times New Roman" w:cs="Times New Roman"/>
          <w:sz w:val="24"/>
          <w:szCs w:val="24"/>
        </w:rPr>
      </w:pPr>
      <w:r>
        <w:rPr>
          <w:rFonts w:ascii="Times New Roman" w:hAnsi="Times New Roman" w:cs="Times New Roman"/>
          <w:sz w:val="24"/>
          <w:szCs w:val="24"/>
        </w:rPr>
        <w:tab/>
        <w:t>The takeaways from this analysis are as follows:</w:t>
      </w:r>
    </w:p>
    <w:p w:rsidR="00606BD8" w:rsidRDefault="00606BD8" w:rsidP="00606B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There is a continuing upward trend in the need for disability examinations at Fargo Health Group’s Abbeville clinic. </w:t>
      </w:r>
    </w:p>
    <w:p w:rsidR="00606BD8" w:rsidRDefault="00606BD8" w:rsidP="00606B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Continue to collect data, with an emphasis on accuracy and completeness and re-run the analysis on a regular basis.</w:t>
      </w:r>
    </w:p>
    <w:p w:rsidR="00606BD8" w:rsidRDefault="00606BD8" w:rsidP="00606BD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Make sure to meet all HIPAA compliance points by de-identifying data given to consultants and ensuring informed consent.</w:t>
      </w:r>
    </w:p>
    <w:p w:rsidR="00606BD8" w:rsidRPr="00606BD8" w:rsidRDefault="00606BD8" w:rsidP="00606BD8">
      <w:pPr>
        <w:ind w:firstLine="360"/>
        <w:rPr>
          <w:rFonts w:ascii="Times New Roman" w:hAnsi="Times New Roman" w:cs="Times New Roman"/>
          <w:sz w:val="24"/>
          <w:szCs w:val="24"/>
        </w:rPr>
      </w:pPr>
      <w:r>
        <w:rPr>
          <w:rFonts w:ascii="Times New Roman" w:hAnsi="Times New Roman" w:cs="Times New Roman"/>
          <w:sz w:val="24"/>
          <w:szCs w:val="24"/>
        </w:rPr>
        <w:t xml:space="preserve">Data analysis and forecasting is a powerful tool that could help Fargo Health Group better meet the needs of its patients, funders, and providers. </w:t>
      </w:r>
      <w:r w:rsidR="008C5819">
        <w:rPr>
          <w:rFonts w:ascii="Times New Roman" w:hAnsi="Times New Roman" w:cs="Times New Roman"/>
          <w:sz w:val="24"/>
          <w:szCs w:val="24"/>
        </w:rPr>
        <w:t>I urge you to continue to use predictive analytics to position your business for success.</w:t>
      </w:r>
    </w:p>
    <w:p w:rsidR="000768DE" w:rsidRPr="005112FF" w:rsidRDefault="000768DE" w:rsidP="00322F3F">
      <w:pPr>
        <w:rPr>
          <w:rFonts w:ascii="Times New Roman" w:hAnsi="Times New Roman" w:cs="Times New Roman"/>
          <w:sz w:val="24"/>
          <w:szCs w:val="24"/>
        </w:rPr>
      </w:pPr>
      <w:r>
        <w:rPr>
          <w:rFonts w:ascii="Times New Roman" w:hAnsi="Times New Roman" w:cs="Times New Roman"/>
          <w:sz w:val="24"/>
          <w:szCs w:val="24"/>
        </w:rPr>
        <w:tab/>
      </w:r>
    </w:p>
    <w:p w:rsidR="003561E5" w:rsidRDefault="003561E5" w:rsidP="003561E5">
      <w:pPr>
        <w:rPr>
          <w:rFonts w:ascii="Times New Roman" w:hAnsi="Times New Roman" w:cs="Times New Roman"/>
          <w:sz w:val="24"/>
          <w:szCs w:val="24"/>
        </w:rPr>
      </w:pPr>
    </w:p>
    <w:p w:rsidR="00C6089E" w:rsidRDefault="00C6089E" w:rsidP="00C6089E">
      <w:pPr>
        <w:ind w:firstLine="720"/>
        <w:jc w:val="center"/>
        <w:rPr>
          <w:rFonts w:ascii="Times New Roman" w:hAnsi="Times New Roman" w:cs="Times New Roman"/>
          <w:sz w:val="24"/>
          <w:szCs w:val="24"/>
        </w:rPr>
      </w:pPr>
    </w:p>
    <w:p w:rsidR="00AB0C87" w:rsidRDefault="00AB0C87">
      <w:pPr>
        <w:rPr>
          <w:rFonts w:ascii="Times New Roman" w:hAnsi="Times New Roman" w:cs="Times New Roman"/>
          <w:sz w:val="24"/>
          <w:szCs w:val="24"/>
        </w:rPr>
      </w:pPr>
      <w:r>
        <w:rPr>
          <w:rFonts w:ascii="Times New Roman" w:hAnsi="Times New Roman" w:cs="Times New Roman"/>
          <w:sz w:val="24"/>
          <w:szCs w:val="24"/>
        </w:rPr>
        <w:br w:type="page"/>
      </w:r>
    </w:p>
    <w:p w:rsidR="008E4959" w:rsidRDefault="008E4959">
      <w:pPr>
        <w:rPr>
          <w:rFonts w:ascii="Times New Roman" w:hAnsi="Times New Roman" w:cs="Times New Roman"/>
          <w:sz w:val="24"/>
          <w:szCs w:val="24"/>
        </w:rPr>
      </w:pPr>
      <w:bookmarkStart w:id="3" w:name="_GoBack"/>
      <w:bookmarkEnd w:id="3"/>
    </w:p>
    <w:p w:rsidR="008E4959" w:rsidRPr="004E41BD" w:rsidRDefault="008E4959" w:rsidP="004E41BD">
      <w:pPr>
        <w:jc w:val="center"/>
        <w:rPr>
          <w:rFonts w:ascii="Times New Roman" w:hAnsi="Times New Roman" w:cs="Times New Roman"/>
          <w:b/>
          <w:sz w:val="24"/>
          <w:szCs w:val="24"/>
        </w:rPr>
      </w:pPr>
      <w:r w:rsidRPr="004E41BD">
        <w:rPr>
          <w:rFonts w:ascii="Times New Roman" w:hAnsi="Times New Roman" w:cs="Times New Roman"/>
          <w:b/>
          <w:sz w:val="24"/>
          <w:szCs w:val="24"/>
        </w:rPr>
        <w:t>References</w:t>
      </w:r>
    </w:p>
    <w:p w:rsidR="002F1F4C" w:rsidRDefault="002F1F4C" w:rsidP="004E41BD">
      <w:pPr>
        <w:ind w:left="720" w:hanging="720"/>
        <w:rPr>
          <w:rFonts w:ascii="Times New Roman" w:hAnsi="Times New Roman" w:cs="Times New Roman"/>
          <w:sz w:val="24"/>
          <w:szCs w:val="24"/>
        </w:rPr>
      </w:pPr>
      <w:r>
        <w:rPr>
          <w:rFonts w:ascii="Times New Roman" w:hAnsi="Times New Roman" w:cs="Times New Roman"/>
          <w:sz w:val="24"/>
          <w:szCs w:val="24"/>
        </w:rPr>
        <w:t>ADA National Network.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2F1F4C">
        <w:rPr>
          <w:rFonts w:ascii="Times New Roman" w:hAnsi="Times New Roman" w:cs="Times New Roman"/>
          <w:i/>
          <w:sz w:val="24"/>
          <w:szCs w:val="24"/>
        </w:rPr>
        <w:t>Accessible Health Care</w:t>
      </w:r>
      <w:r>
        <w:rPr>
          <w:rFonts w:ascii="Times New Roman" w:hAnsi="Times New Roman" w:cs="Times New Roman"/>
          <w:sz w:val="24"/>
          <w:szCs w:val="24"/>
        </w:rPr>
        <w:t xml:space="preserve">. Retrieved from </w:t>
      </w:r>
      <w:r w:rsidRPr="002F1F4C">
        <w:rPr>
          <w:rFonts w:ascii="Times New Roman" w:hAnsi="Times New Roman" w:cs="Times New Roman"/>
          <w:sz w:val="24"/>
          <w:szCs w:val="24"/>
        </w:rPr>
        <w:t>https://adata.org/factsheet/accessible-health-care</w:t>
      </w:r>
      <w:r>
        <w:rPr>
          <w:rFonts w:ascii="Times New Roman" w:hAnsi="Times New Roman" w:cs="Times New Roman"/>
          <w:sz w:val="24"/>
          <w:szCs w:val="24"/>
        </w:rPr>
        <w:t>.</w:t>
      </w:r>
    </w:p>
    <w:p w:rsidR="005112FF" w:rsidRDefault="005112FF" w:rsidP="004E41BD">
      <w:pPr>
        <w:ind w:left="720" w:hanging="720"/>
        <w:rPr>
          <w:rFonts w:ascii="Times New Roman" w:hAnsi="Times New Roman" w:cs="Times New Roman"/>
          <w:sz w:val="24"/>
          <w:szCs w:val="24"/>
        </w:rPr>
      </w:pPr>
      <w:proofErr w:type="spellStart"/>
      <w:r>
        <w:rPr>
          <w:rFonts w:ascii="Times New Roman" w:hAnsi="Times New Roman" w:cs="Times New Roman"/>
          <w:sz w:val="24"/>
          <w:szCs w:val="24"/>
        </w:rPr>
        <w:t>Bukralia</w:t>
      </w:r>
      <w:proofErr w:type="spellEnd"/>
      <w:r>
        <w:rPr>
          <w:rFonts w:ascii="Times New Roman" w:hAnsi="Times New Roman" w:cs="Times New Roman"/>
          <w:sz w:val="24"/>
          <w:szCs w:val="24"/>
        </w:rPr>
        <w:t>, 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5112FF">
        <w:rPr>
          <w:rFonts w:ascii="Times New Roman" w:hAnsi="Times New Roman" w:cs="Times New Roman"/>
          <w:i/>
          <w:sz w:val="24"/>
          <w:szCs w:val="24"/>
        </w:rPr>
        <w:t>DS700 – Foundations of Data Science: Forecasting</w:t>
      </w:r>
      <w:r>
        <w:rPr>
          <w:rFonts w:ascii="Times New Roman" w:hAnsi="Times New Roman" w:cs="Times New Roman"/>
          <w:sz w:val="24"/>
          <w:szCs w:val="24"/>
        </w:rPr>
        <w:t xml:space="preserve">. Retrieved from </w:t>
      </w:r>
      <w:r w:rsidRPr="005112FF">
        <w:rPr>
          <w:rFonts w:ascii="Times New Roman" w:hAnsi="Times New Roman" w:cs="Times New Roman"/>
          <w:sz w:val="24"/>
          <w:szCs w:val="24"/>
        </w:rPr>
        <w:t>https://uwli.courses.wisconsin.edu/d2l/le/content/3713709/viewContent/22681703/View</w:t>
      </w:r>
      <w:r w:rsidR="00502E34">
        <w:rPr>
          <w:rFonts w:ascii="Times New Roman" w:hAnsi="Times New Roman" w:cs="Times New Roman"/>
          <w:sz w:val="24"/>
          <w:szCs w:val="24"/>
        </w:rPr>
        <w:t>.</w:t>
      </w:r>
    </w:p>
    <w:p w:rsidR="00502E34" w:rsidRDefault="00502E34" w:rsidP="004E41BD">
      <w:pPr>
        <w:ind w:left="720" w:hanging="720"/>
        <w:rPr>
          <w:rFonts w:ascii="Times New Roman" w:hAnsi="Times New Roman" w:cs="Times New Roman"/>
          <w:sz w:val="24"/>
          <w:szCs w:val="24"/>
        </w:rPr>
      </w:pPr>
      <w:proofErr w:type="spellStart"/>
      <w:r>
        <w:rPr>
          <w:rFonts w:ascii="Times New Roman" w:hAnsi="Times New Roman" w:cs="Times New Roman"/>
          <w:sz w:val="24"/>
          <w:szCs w:val="24"/>
        </w:rPr>
        <w:t>Daries</w:t>
      </w:r>
      <w:proofErr w:type="spellEnd"/>
      <w:r>
        <w:rPr>
          <w:rFonts w:ascii="Times New Roman" w:hAnsi="Times New Roman" w:cs="Times New Roman"/>
          <w:sz w:val="24"/>
          <w:szCs w:val="24"/>
        </w:rPr>
        <w:t xml:space="preserve">, J., Reich, J., Waldo, J., Young, E., </w:t>
      </w:r>
      <w:proofErr w:type="spellStart"/>
      <w:r>
        <w:rPr>
          <w:rFonts w:ascii="Times New Roman" w:hAnsi="Times New Roman" w:cs="Times New Roman"/>
          <w:sz w:val="24"/>
          <w:szCs w:val="24"/>
        </w:rPr>
        <w:t>Whittinghill</w:t>
      </w:r>
      <w:proofErr w:type="spellEnd"/>
      <w:r>
        <w:rPr>
          <w:rFonts w:ascii="Times New Roman" w:hAnsi="Times New Roman" w:cs="Times New Roman"/>
          <w:sz w:val="24"/>
          <w:szCs w:val="24"/>
        </w:rPr>
        <w:t>, D., Seaton, T.D</w:t>
      </w:r>
      <w:r w:rsidR="00A604EC">
        <w:rPr>
          <w:rFonts w:ascii="Times New Roman" w:hAnsi="Times New Roman" w:cs="Times New Roman"/>
          <w:sz w:val="24"/>
          <w:szCs w:val="24"/>
        </w:rPr>
        <w:t xml:space="preserve">…., Chuang, I. (2014). </w:t>
      </w:r>
      <w:r w:rsidR="00A604EC" w:rsidRPr="00A604EC">
        <w:rPr>
          <w:rFonts w:ascii="Times New Roman" w:hAnsi="Times New Roman" w:cs="Times New Roman"/>
          <w:i/>
          <w:sz w:val="24"/>
          <w:szCs w:val="24"/>
        </w:rPr>
        <w:t>Privacy, Anonymity, and Big Data in the Social Sciences</w:t>
      </w:r>
      <w:r w:rsidR="00A604EC">
        <w:rPr>
          <w:rFonts w:ascii="Times New Roman" w:hAnsi="Times New Roman" w:cs="Times New Roman"/>
          <w:sz w:val="24"/>
          <w:szCs w:val="24"/>
        </w:rPr>
        <w:t xml:space="preserve">. Retrieved from </w:t>
      </w:r>
      <w:r w:rsidR="00A604EC" w:rsidRPr="00A604EC">
        <w:rPr>
          <w:rFonts w:ascii="Times New Roman" w:hAnsi="Times New Roman" w:cs="Times New Roman"/>
          <w:sz w:val="24"/>
          <w:szCs w:val="24"/>
        </w:rPr>
        <w:t>http://queue.acm.org/detail.cfm?id=2661641</w:t>
      </w:r>
    </w:p>
    <w:p w:rsidR="00502E34" w:rsidRDefault="00DD6484" w:rsidP="004E41BD">
      <w:pPr>
        <w:ind w:left="720" w:hanging="720"/>
        <w:rPr>
          <w:rFonts w:ascii="Times New Roman" w:hAnsi="Times New Roman" w:cs="Times New Roman"/>
          <w:sz w:val="24"/>
          <w:szCs w:val="24"/>
        </w:rPr>
      </w:pPr>
      <w:r w:rsidRPr="00DD6484">
        <w:rPr>
          <w:rFonts w:ascii="Times New Roman" w:hAnsi="Times New Roman" w:cs="Times New Roman"/>
          <w:sz w:val="24"/>
          <w:szCs w:val="24"/>
        </w:rPr>
        <w:t xml:space="preserve">Foreman, J. (2014). </w:t>
      </w:r>
      <w:r w:rsidRPr="00DD6484">
        <w:rPr>
          <w:rFonts w:ascii="Times New Roman" w:hAnsi="Times New Roman" w:cs="Times New Roman"/>
          <w:i/>
          <w:iCs/>
          <w:sz w:val="24"/>
          <w:szCs w:val="24"/>
        </w:rPr>
        <w:t>Data Smart: Using Data Science to Transform Information into Insight</w:t>
      </w:r>
      <w:r w:rsidRPr="00DD6484">
        <w:rPr>
          <w:rFonts w:ascii="Times New Roman" w:hAnsi="Times New Roman" w:cs="Times New Roman"/>
          <w:sz w:val="24"/>
          <w:szCs w:val="24"/>
        </w:rPr>
        <w:t>. Indianapolis, IN. John Wiley &amp; Sons, Inc.</w:t>
      </w:r>
    </w:p>
    <w:p w:rsidR="00572DC8" w:rsidRDefault="00572DC8" w:rsidP="004E41BD">
      <w:pPr>
        <w:ind w:left="720" w:hanging="720"/>
        <w:rPr>
          <w:rFonts w:ascii="Times New Roman" w:hAnsi="Times New Roman" w:cs="Times New Roman"/>
          <w:sz w:val="24"/>
          <w:szCs w:val="24"/>
        </w:rPr>
      </w:pPr>
      <w:r>
        <w:rPr>
          <w:rFonts w:ascii="Times New Roman" w:hAnsi="Times New Roman" w:cs="Times New Roman"/>
          <w:sz w:val="24"/>
          <w:szCs w:val="24"/>
        </w:rPr>
        <w:t xml:space="preserve">Honaker, J., King, G., Blackwell, M. </w:t>
      </w:r>
      <w:r w:rsidR="00D46E3D">
        <w:rPr>
          <w:rFonts w:ascii="Times New Roman" w:hAnsi="Times New Roman" w:cs="Times New Roman"/>
          <w:sz w:val="24"/>
          <w:szCs w:val="24"/>
        </w:rPr>
        <w:t xml:space="preserve">(2016). </w:t>
      </w:r>
      <w:r w:rsidR="00D46E3D" w:rsidRPr="00D46E3D">
        <w:rPr>
          <w:rFonts w:ascii="Times New Roman" w:hAnsi="Times New Roman" w:cs="Times New Roman"/>
          <w:i/>
          <w:sz w:val="24"/>
          <w:szCs w:val="24"/>
        </w:rPr>
        <w:t>Package ‘Amelia’</w:t>
      </w:r>
      <w:r w:rsidR="00D46E3D">
        <w:rPr>
          <w:rFonts w:ascii="Times New Roman" w:hAnsi="Times New Roman" w:cs="Times New Roman"/>
          <w:sz w:val="24"/>
          <w:szCs w:val="24"/>
        </w:rPr>
        <w:t xml:space="preserve">. Retrieved from </w:t>
      </w:r>
      <w:hyperlink r:id="rId14" w:history="1">
        <w:r w:rsidR="000768DE" w:rsidRPr="002111DF">
          <w:rPr>
            <w:rStyle w:val="Hyperlink"/>
            <w:rFonts w:ascii="Times New Roman" w:hAnsi="Times New Roman" w:cs="Times New Roman"/>
            <w:sz w:val="24"/>
            <w:szCs w:val="24"/>
          </w:rPr>
          <w:t>https://cran.r-project.org/web/packages/Amelia/Amelia.pdf</w:t>
        </w:r>
      </w:hyperlink>
      <w:r w:rsidR="00502E34">
        <w:rPr>
          <w:rFonts w:ascii="Times New Roman" w:hAnsi="Times New Roman" w:cs="Times New Roman"/>
          <w:sz w:val="24"/>
          <w:szCs w:val="24"/>
        </w:rPr>
        <w:t>.</w:t>
      </w:r>
    </w:p>
    <w:p w:rsidR="000768DE" w:rsidRDefault="000768DE" w:rsidP="004E41BD">
      <w:pPr>
        <w:ind w:left="720" w:hanging="720"/>
        <w:rPr>
          <w:rFonts w:ascii="Times New Roman" w:hAnsi="Times New Roman" w:cs="Times New Roman"/>
          <w:sz w:val="24"/>
          <w:szCs w:val="24"/>
        </w:rPr>
      </w:pPr>
      <w:r>
        <w:rPr>
          <w:rFonts w:ascii="Times New Roman" w:hAnsi="Times New Roman" w:cs="Times New Roman"/>
          <w:sz w:val="24"/>
          <w:szCs w:val="24"/>
        </w:rPr>
        <w:t xml:space="preserve">Hyndman, R. (2013). </w:t>
      </w:r>
      <w:r w:rsidRPr="000768DE">
        <w:rPr>
          <w:rFonts w:ascii="Times New Roman" w:hAnsi="Times New Roman" w:cs="Times New Roman"/>
          <w:i/>
          <w:sz w:val="24"/>
          <w:szCs w:val="24"/>
        </w:rPr>
        <w:t>Facts and Fallacies of the AIC</w:t>
      </w:r>
      <w:r>
        <w:rPr>
          <w:rFonts w:ascii="Times New Roman" w:hAnsi="Times New Roman" w:cs="Times New Roman"/>
          <w:sz w:val="24"/>
          <w:szCs w:val="24"/>
        </w:rPr>
        <w:t xml:space="preserve">. Retrieved from </w:t>
      </w:r>
      <w:r w:rsidRPr="000768DE">
        <w:rPr>
          <w:rFonts w:ascii="Times New Roman" w:hAnsi="Times New Roman" w:cs="Times New Roman"/>
          <w:sz w:val="24"/>
          <w:szCs w:val="24"/>
        </w:rPr>
        <w:t>https://robjhyndman.com/hyndsight/aic/</w:t>
      </w:r>
      <w:r w:rsidR="00502E34">
        <w:rPr>
          <w:rFonts w:ascii="Times New Roman" w:hAnsi="Times New Roman" w:cs="Times New Roman"/>
          <w:sz w:val="24"/>
          <w:szCs w:val="24"/>
        </w:rPr>
        <w:t>.</w:t>
      </w:r>
    </w:p>
    <w:p w:rsidR="00EB4305" w:rsidRDefault="00EB4305" w:rsidP="004E41BD">
      <w:pPr>
        <w:ind w:left="720" w:hanging="720"/>
        <w:rPr>
          <w:rFonts w:ascii="Times New Roman" w:hAnsi="Times New Roman" w:cs="Times New Roman"/>
          <w:sz w:val="24"/>
          <w:szCs w:val="24"/>
        </w:rPr>
      </w:pPr>
      <w:proofErr w:type="spellStart"/>
      <w:r w:rsidRPr="00EB4305">
        <w:rPr>
          <w:rFonts w:ascii="Times New Roman" w:hAnsi="Times New Roman" w:cs="Times New Roman"/>
          <w:sz w:val="24"/>
          <w:szCs w:val="24"/>
        </w:rPr>
        <w:t>Kabacoff</w:t>
      </w:r>
      <w:proofErr w:type="spellEnd"/>
      <w:r w:rsidRPr="00EB4305">
        <w:rPr>
          <w:rFonts w:ascii="Times New Roman" w:hAnsi="Times New Roman" w:cs="Times New Roman"/>
          <w:sz w:val="24"/>
          <w:szCs w:val="24"/>
        </w:rPr>
        <w:t xml:space="preserve">, Robert. (2015). </w:t>
      </w:r>
      <w:r w:rsidRPr="00EB4305">
        <w:rPr>
          <w:rFonts w:ascii="Times New Roman" w:hAnsi="Times New Roman" w:cs="Times New Roman"/>
          <w:i/>
          <w:sz w:val="24"/>
          <w:szCs w:val="24"/>
        </w:rPr>
        <w:t xml:space="preserve">R </w:t>
      </w:r>
      <w:proofErr w:type="gramStart"/>
      <w:r w:rsidRPr="00EB4305">
        <w:rPr>
          <w:rFonts w:ascii="Times New Roman" w:hAnsi="Times New Roman" w:cs="Times New Roman"/>
          <w:i/>
          <w:sz w:val="24"/>
          <w:szCs w:val="24"/>
        </w:rPr>
        <w:t>In</w:t>
      </w:r>
      <w:proofErr w:type="gramEnd"/>
      <w:r w:rsidRPr="00EB4305">
        <w:rPr>
          <w:rFonts w:ascii="Times New Roman" w:hAnsi="Times New Roman" w:cs="Times New Roman"/>
          <w:i/>
          <w:sz w:val="24"/>
          <w:szCs w:val="24"/>
        </w:rPr>
        <w:t xml:space="preserve"> Action: Data Analysis and Graphics with R</w:t>
      </w:r>
      <w:r w:rsidRPr="00EB4305">
        <w:rPr>
          <w:rFonts w:ascii="Times New Roman" w:hAnsi="Times New Roman" w:cs="Times New Roman"/>
          <w:sz w:val="24"/>
          <w:szCs w:val="24"/>
        </w:rPr>
        <w:t>. Shelter Island, NY: Manning Publications Co.</w:t>
      </w:r>
    </w:p>
    <w:p w:rsidR="00670D63" w:rsidRDefault="00670D63" w:rsidP="004E41BD">
      <w:pPr>
        <w:ind w:left="720" w:hanging="720"/>
        <w:rPr>
          <w:rFonts w:ascii="Times New Roman" w:hAnsi="Times New Roman" w:cs="Times New Roman"/>
          <w:sz w:val="24"/>
          <w:szCs w:val="24"/>
        </w:rPr>
      </w:pPr>
      <w:r>
        <w:rPr>
          <w:rFonts w:ascii="Times New Roman" w:hAnsi="Times New Roman" w:cs="Times New Roman"/>
          <w:sz w:val="24"/>
          <w:szCs w:val="24"/>
        </w:rPr>
        <w:t xml:space="preserve">Khatri, Vijay &amp; Brown, Carol V. (2010). Designing Data Governance. Retrieved from </w:t>
      </w:r>
      <w:r w:rsidRPr="00670D63">
        <w:rPr>
          <w:rFonts w:ascii="Times New Roman" w:hAnsi="Times New Roman" w:cs="Times New Roman"/>
          <w:sz w:val="24"/>
          <w:szCs w:val="24"/>
        </w:rPr>
        <w:t>http://delivery.acm.org/10.1145/1630000/1629210/p148-khatri.pdf?ip=144.92.114.82&amp;id=1629210&amp;acc=ACTIVE%20SERVICE&amp;key=066E7B0AFE2DCD37%2E4D4702B0C3E38B35%2E4D4702B0C3E38B35%2E4D4702B0C3E38B35&amp;CFID=793212033&amp;CFTOKEN=75343802&amp;__acm__=1501781941_1973f25fdda97226a7835b89e5113742</w:t>
      </w:r>
    </w:p>
    <w:p w:rsidR="005112FF" w:rsidRDefault="005112FF" w:rsidP="004E41BD">
      <w:pPr>
        <w:ind w:left="720" w:hanging="720"/>
        <w:rPr>
          <w:rFonts w:ascii="Times New Roman" w:hAnsi="Times New Roman" w:cs="Times New Roman"/>
          <w:sz w:val="24"/>
          <w:szCs w:val="24"/>
        </w:rPr>
      </w:pPr>
      <w:proofErr w:type="spellStart"/>
      <w:r>
        <w:rPr>
          <w:rFonts w:ascii="Times New Roman" w:hAnsi="Times New Roman" w:cs="Times New Roman"/>
          <w:sz w:val="24"/>
          <w:szCs w:val="24"/>
        </w:rPr>
        <w:t>Keshvani</w:t>
      </w:r>
      <w:proofErr w:type="spellEnd"/>
      <w:r>
        <w:rPr>
          <w:rFonts w:ascii="Times New Roman" w:hAnsi="Times New Roman" w:cs="Times New Roman"/>
          <w:sz w:val="24"/>
          <w:szCs w:val="24"/>
        </w:rPr>
        <w:t xml:space="preserve">, A. (2013). </w:t>
      </w:r>
      <w:r w:rsidRPr="005112FF">
        <w:rPr>
          <w:rFonts w:ascii="Times New Roman" w:hAnsi="Times New Roman" w:cs="Times New Roman"/>
          <w:i/>
          <w:sz w:val="24"/>
          <w:szCs w:val="24"/>
        </w:rPr>
        <w:t>Using AIC to Test ARIMA Models</w:t>
      </w:r>
      <w:r>
        <w:rPr>
          <w:rFonts w:ascii="Times New Roman" w:hAnsi="Times New Roman" w:cs="Times New Roman"/>
          <w:sz w:val="24"/>
          <w:szCs w:val="24"/>
        </w:rPr>
        <w:t xml:space="preserve">. Retrieved from </w:t>
      </w:r>
      <w:r w:rsidRPr="005112FF">
        <w:rPr>
          <w:rFonts w:ascii="Times New Roman" w:hAnsi="Times New Roman" w:cs="Times New Roman"/>
          <w:sz w:val="24"/>
          <w:szCs w:val="24"/>
        </w:rPr>
        <w:t>https://coolstatsblog.com/2013/08/14/using-aic-to-test-arima-models-2/</w:t>
      </w:r>
      <w:r w:rsidR="00502E34">
        <w:rPr>
          <w:rFonts w:ascii="Times New Roman" w:hAnsi="Times New Roman" w:cs="Times New Roman"/>
          <w:sz w:val="24"/>
          <w:szCs w:val="24"/>
        </w:rPr>
        <w:t>.</w:t>
      </w:r>
    </w:p>
    <w:p w:rsidR="004C4953" w:rsidRDefault="004C4953" w:rsidP="004E41BD">
      <w:pPr>
        <w:ind w:left="720" w:hanging="720"/>
        <w:rPr>
          <w:rFonts w:ascii="Times New Roman" w:hAnsi="Times New Roman" w:cs="Times New Roman"/>
          <w:sz w:val="24"/>
          <w:szCs w:val="24"/>
        </w:rPr>
      </w:pPr>
      <w:proofErr w:type="spellStart"/>
      <w:r>
        <w:rPr>
          <w:rFonts w:ascii="Times New Roman" w:hAnsi="Times New Roman" w:cs="Times New Roman"/>
          <w:sz w:val="24"/>
          <w:szCs w:val="24"/>
        </w:rPr>
        <w:t>Nau</w:t>
      </w:r>
      <w:proofErr w:type="spellEnd"/>
      <w:r>
        <w:rPr>
          <w:rFonts w:ascii="Times New Roman" w:hAnsi="Times New Roman" w:cs="Times New Roman"/>
          <w:sz w:val="24"/>
          <w:szCs w:val="24"/>
        </w:rPr>
        <w:t>, 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4C4953">
        <w:rPr>
          <w:rFonts w:ascii="Times New Roman" w:hAnsi="Times New Roman" w:cs="Times New Roman"/>
          <w:i/>
          <w:sz w:val="24"/>
          <w:szCs w:val="24"/>
        </w:rPr>
        <w:t xml:space="preserve">Notes on </w:t>
      </w:r>
      <w:proofErr w:type="spellStart"/>
      <w:r w:rsidRPr="004C4953">
        <w:rPr>
          <w:rFonts w:ascii="Times New Roman" w:hAnsi="Times New Roman" w:cs="Times New Roman"/>
          <w:i/>
          <w:sz w:val="24"/>
          <w:szCs w:val="24"/>
        </w:rPr>
        <w:t>nonseasonal</w:t>
      </w:r>
      <w:proofErr w:type="spellEnd"/>
      <w:r w:rsidRPr="004C4953">
        <w:rPr>
          <w:rFonts w:ascii="Times New Roman" w:hAnsi="Times New Roman" w:cs="Times New Roman"/>
          <w:i/>
          <w:sz w:val="24"/>
          <w:szCs w:val="24"/>
        </w:rPr>
        <w:t xml:space="preserve"> ARIMA models</w:t>
      </w:r>
      <w:r>
        <w:rPr>
          <w:rFonts w:ascii="Times New Roman" w:hAnsi="Times New Roman" w:cs="Times New Roman"/>
          <w:sz w:val="24"/>
          <w:szCs w:val="24"/>
        </w:rPr>
        <w:t xml:space="preserve">. Retrieved from </w:t>
      </w:r>
      <w:r w:rsidRPr="004C4953">
        <w:rPr>
          <w:rFonts w:ascii="Times New Roman" w:hAnsi="Times New Roman" w:cs="Times New Roman"/>
          <w:sz w:val="24"/>
          <w:szCs w:val="24"/>
        </w:rPr>
        <w:t>https://people.duke.edu/~rnau/Notes_on_nonseasonal_ARIMA_models--Robert_Nau.pdf</w:t>
      </w:r>
      <w:r w:rsidR="00502E34">
        <w:rPr>
          <w:rFonts w:ascii="Times New Roman" w:hAnsi="Times New Roman" w:cs="Times New Roman"/>
          <w:sz w:val="24"/>
          <w:szCs w:val="24"/>
        </w:rPr>
        <w:t>.</w:t>
      </w:r>
    </w:p>
    <w:p w:rsidR="00FA7A71" w:rsidRDefault="00FA7A71" w:rsidP="004E41BD">
      <w:pPr>
        <w:ind w:left="720" w:hanging="720"/>
        <w:rPr>
          <w:rFonts w:ascii="Times New Roman" w:hAnsi="Times New Roman" w:cs="Times New Roman"/>
          <w:sz w:val="24"/>
          <w:szCs w:val="24"/>
        </w:rPr>
      </w:pPr>
      <w:proofErr w:type="spellStart"/>
      <w:r w:rsidRPr="008E4959">
        <w:rPr>
          <w:rFonts w:ascii="Times New Roman" w:hAnsi="Times New Roman" w:cs="Times New Roman"/>
          <w:sz w:val="24"/>
          <w:szCs w:val="24"/>
        </w:rPr>
        <w:t>Paiz</w:t>
      </w:r>
      <w:proofErr w:type="spellEnd"/>
      <w:r>
        <w:rPr>
          <w:rFonts w:ascii="Times New Roman" w:hAnsi="Times New Roman" w:cs="Times New Roman"/>
          <w:sz w:val="24"/>
          <w:szCs w:val="24"/>
        </w:rPr>
        <w:t>, J. M.</w:t>
      </w:r>
      <w:r w:rsidRPr="008E4959">
        <w:rPr>
          <w:rFonts w:ascii="Times New Roman" w:hAnsi="Times New Roman" w:cs="Times New Roman"/>
          <w:sz w:val="24"/>
          <w:szCs w:val="24"/>
        </w:rPr>
        <w:t xml:space="preserve">, </w:t>
      </w:r>
      <w:proofErr w:type="spellStart"/>
      <w:r w:rsidRPr="008E4959">
        <w:rPr>
          <w:rFonts w:ascii="Times New Roman" w:hAnsi="Times New Roman" w:cs="Times New Roman"/>
          <w:sz w:val="24"/>
          <w:szCs w:val="24"/>
        </w:rPr>
        <w:t>Angeli</w:t>
      </w:r>
      <w:proofErr w:type="spellEnd"/>
      <w:r>
        <w:rPr>
          <w:rFonts w:ascii="Times New Roman" w:hAnsi="Times New Roman" w:cs="Times New Roman"/>
          <w:sz w:val="24"/>
          <w:szCs w:val="24"/>
        </w:rPr>
        <w:t xml:space="preserve">, </w:t>
      </w:r>
      <w:r w:rsidRPr="008E4959">
        <w:rPr>
          <w:rFonts w:ascii="Times New Roman" w:hAnsi="Times New Roman" w:cs="Times New Roman"/>
          <w:sz w:val="24"/>
          <w:szCs w:val="24"/>
        </w:rPr>
        <w:t>E</w:t>
      </w:r>
      <w:r>
        <w:rPr>
          <w:rFonts w:ascii="Times New Roman" w:hAnsi="Times New Roman" w:cs="Times New Roman"/>
          <w:sz w:val="24"/>
          <w:szCs w:val="24"/>
        </w:rPr>
        <w:t>.</w:t>
      </w:r>
      <w:r w:rsidRPr="008E4959">
        <w:rPr>
          <w:rFonts w:ascii="Times New Roman" w:hAnsi="Times New Roman" w:cs="Times New Roman"/>
          <w:sz w:val="24"/>
          <w:szCs w:val="24"/>
        </w:rPr>
        <w:t>, Wagner</w:t>
      </w:r>
      <w:r>
        <w:rPr>
          <w:rFonts w:ascii="Times New Roman" w:hAnsi="Times New Roman" w:cs="Times New Roman"/>
          <w:sz w:val="24"/>
          <w:szCs w:val="24"/>
        </w:rPr>
        <w:t>, J.</w:t>
      </w:r>
      <w:r w:rsidRPr="008E4959">
        <w:rPr>
          <w:rFonts w:ascii="Times New Roman" w:hAnsi="Times New Roman" w:cs="Times New Roman"/>
          <w:sz w:val="24"/>
          <w:szCs w:val="24"/>
        </w:rPr>
        <w:t xml:space="preserve">, </w:t>
      </w:r>
      <w:proofErr w:type="spellStart"/>
      <w:r w:rsidRPr="008E4959">
        <w:rPr>
          <w:rFonts w:ascii="Times New Roman" w:hAnsi="Times New Roman" w:cs="Times New Roman"/>
          <w:sz w:val="24"/>
          <w:szCs w:val="24"/>
        </w:rPr>
        <w:t>Lawrick</w:t>
      </w:r>
      <w:proofErr w:type="spellEnd"/>
      <w:r>
        <w:rPr>
          <w:rFonts w:ascii="Times New Roman" w:hAnsi="Times New Roman" w:cs="Times New Roman"/>
          <w:sz w:val="24"/>
          <w:szCs w:val="24"/>
        </w:rPr>
        <w:t>, E.</w:t>
      </w:r>
      <w:r w:rsidRPr="008E4959">
        <w:rPr>
          <w:rFonts w:ascii="Times New Roman" w:hAnsi="Times New Roman" w:cs="Times New Roman"/>
          <w:sz w:val="24"/>
          <w:szCs w:val="24"/>
        </w:rPr>
        <w:t>, Moore</w:t>
      </w:r>
      <w:r>
        <w:rPr>
          <w:rFonts w:ascii="Times New Roman" w:hAnsi="Times New Roman" w:cs="Times New Roman"/>
          <w:sz w:val="24"/>
          <w:szCs w:val="24"/>
        </w:rPr>
        <w:t>, K</w:t>
      </w:r>
      <w:r w:rsidRPr="008E4959">
        <w:rPr>
          <w:rFonts w:ascii="Times New Roman" w:hAnsi="Times New Roman" w:cs="Times New Roman"/>
          <w:sz w:val="24"/>
          <w:szCs w:val="24"/>
        </w:rPr>
        <w:t>, Anderson</w:t>
      </w:r>
      <w:r>
        <w:rPr>
          <w:rFonts w:ascii="Times New Roman" w:hAnsi="Times New Roman" w:cs="Times New Roman"/>
          <w:sz w:val="24"/>
          <w:szCs w:val="24"/>
        </w:rPr>
        <w:t>, M.</w:t>
      </w:r>
      <w:r w:rsidRPr="008E4959">
        <w:rPr>
          <w:rFonts w:ascii="Times New Roman" w:hAnsi="Times New Roman" w:cs="Times New Roman"/>
          <w:sz w:val="24"/>
          <w:szCs w:val="24"/>
        </w:rPr>
        <w:t>…</w:t>
      </w:r>
      <w:r>
        <w:rPr>
          <w:rFonts w:ascii="Times New Roman" w:hAnsi="Times New Roman" w:cs="Times New Roman"/>
          <w:sz w:val="24"/>
          <w:szCs w:val="24"/>
        </w:rPr>
        <w:t xml:space="preserve">, Keck, R. (2016) </w:t>
      </w:r>
      <w:r>
        <w:rPr>
          <w:rFonts w:ascii="Times New Roman" w:hAnsi="Times New Roman" w:cs="Times New Roman"/>
          <w:i/>
          <w:sz w:val="24"/>
          <w:szCs w:val="24"/>
        </w:rPr>
        <w:t>Reference List: Basic Rules</w:t>
      </w:r>
      <w:r>
        <w:rPr>
          <w:rFonts w:ascii="Times New Roman" w:hAnsi="Times New Roman" w:cs="Times New Roman"/>
          <w:sz w:val="24"/>
          <w:szCs w:val="24"/>
        </w:rPr>
        <w:t xml:space="preserve">. Retrieved from </w:t>
      </w:r>
      <w:r w:rsidRPr="00FA7A71">
        <w:rPr>
          <w:rFonts w:ascii="Times New Roman" w:hAnsi="Times New Roman" w:cs="Times New Roman"/>
          <w:sz w:val="24"/>
          <w:szCs w:val="24"/>
        </w:rPr>
        <w:t>https://owl.english.purdue.edu/owl/resource/560/05/</w:t>
      </w:r>
      <w:r w:rsidR="00502E34">
        <w:rPr>
          <w:rFonts w:ascii="Times New Roman" w:hAnsi="Times New Roman" w:cs="Times New Roman"/>
          <w:sz w:val="24"/>
          <w:szCs w:val="24"/>
        </w:rPr>
        <w:t>.</w:t>
      </w:r>
    </w:p>
    <w:p w:rsidR="008E4959" w:rsidRDefault="008E4959" w:rsidP="004E41BD">
      <w:pPr>
        <w:ind w:left="720" w:hanging="720"/>
        <w:rPr>
          <w:rFonts w:ascii="Times New Roman" w:hAnsi="Times New Roman" w:cs="Times New Roman"/>
          <w:sz w:val="24"/>
          <w:szCs w:val="24"/>
        </w:rPr>
      </w:pPr>
      <w:proofErr w:type="spellStart"/>
      <w:r w:rsidRPr="008E4959">
        <w:rPr>
          <w:rFonts w:ascii="Times New Roman" w:hAnsi="Times New Roman" w:cs="Times New Roman"/>
          <w:sz w:val="24"/>
          <w:szCs w:val="24"/>
        </w:rPr>
        <w:t>Paiz</w:t>
      </w:r>
      <w:proofErr w:type="spellEnd"/>
      <w:r>
        <w:rPr>
          <w:rFonts w:ascii="Times New Roman" w:hAnsi="Times New Roman" w:cs="Times New Roman"/>
          <w:sz w:val="24"/>
          <w:szCs w:val="24"/>
        </w:rPr>
        <w:t>, J</w:t>
      </w:r>
      <w:r w:rsidR="00725A5C">
        <w:rPr>
          <w:rFonts w:ascii="Times New Roman" w:hAnsi="Times New Roman" w:cs="Times New Roman"/>
          <w:sz w:val="24"/>
          <w:szCs w:val="24"/>
        </w:rPr>
        <w:t>.</w:t>
      </w:r>
      <w:r>
        <w:rPr>
          <w:rFonts w:ascii="Times New Roman" w:hAnsi="Times New Roman" w:cs="Times New Roman"/>
          <w:sz w:val="24"/>
          <w:szCs w:val="24"/>
        </w:rPr>
        <w:t xml:space="preserve"> M.</w:t>
      </w:r>
      <w:r w:rsidRPr="008E4959">
        <w:rPr>
          <w:rFonts w:ascii="Times New Roman" w:hAnsi="Times New Roman" w:cs="Times New Roman"/>
          <w:sz w:val="24"/>
          <w:szCs w:val="24"/>
        </w:rPr>
        <w:t xml:space="preserve">, </w:t>
      </w:r>
      <w:proofErr w:type="spellStart"/>
      <w:r w:rsidRPr="008E4959">
        <w:rPr>
          <w:rFonts w:ascii="Times New Roman" w:hAnsi="Times New Roman" w:cs="Times New Roman"/>
          <w:sz w:val="24"/>
          <w:szCs w:val="24"/>
        </w:rPr>
        <w:t>Angeli</w:t>
      </w:r>
      <w:proofErr w:type="spellEnd"/>
      <w:r>
        <w:rPr>
          <w:rFonts w:ascii="Times New Roman" w:hAnsi="Times New Roman" w:cs="Times New Roman"/>
          <w:sz w:val="24"/>
          <w:szCs w:val="24"/>
        </w:rPr>
        <w:t xml:space="preserve">, </w:t>
      </w:r>
      <w:r w:rsidRPr="008E4959">
        <w:rPr>
          <w:rFonts w:ascii="Times New Roman" w:hAnsi="Times New Roman" w:cs="Times New Roman"/>
          <w:sz w:val="24"/>
          <w:szCs w:val="24"/>
        </w:rPr>
        <w:t>E</w:t>
      </w:r>
      <w:r w:rsidR="00725A5C">
        <w:rPr>
          <w:rFonts w:ascii="Times New Roman" w:hAnsi="Times New Roman" w:cs="Times New Roman"/>
          <w:sz w:val="24"/>
          <w:szCs w:val="24"/>
        </w:rPr>
        <w:t>.</w:t>
      </w:r>
      <w:r w:rsidRPr="008E4959">
        <w:rPr>
          <w:rFonts w:ascii="Times New Roman" w:hAnsi="Times New Roman" w:cs="Times New Roman"/>
          <w:sz w:val="24"/>
          <w:szCs w:val="24"/>
        </w:rPr>
        <w:t>, Wagner</w:t>
      </w:r>
      <w:r w:rsidR="00725A5C">
        <w:rPr>
          <w:rFonts w:ascii="Times New Roman" w:hAnsi="Times New Roman" w:cs="Times New Roman"/>
          <w:sz w:val="24"/>
          <w:szCs w:val="24"/>
        </w:rPr>
        <w:t>, J.</w:t>
      </w:r>
      <w:r w:rsidRPr="008E4959">
        <w:rPr>
          <w:rFonts w:ascii="Times New Roman" w:hAnsi="Times New Roman" w:cs="Times New Roman"/>
          <w:sz w:val="24"/>
          <w:szCs w:val="24"/>
        </w:rPr>
        <w:t xml:space="preserve">, </w:t>
      </w:r>
      <w:proofErr w:type="spellStart"/>
      <w:r w:rsidRPr="008E4959">
        <w:rPr>
          <w:rFonts w:ascii="Times New Roman" w:hAnsi="Times New Roman" w:cs="Times New Roman"/>
          <w:sz w:val="24"/>
          <w:szCs w:val="24"/>
        </w:rPr>
        <w:t>Lawrick</w:t>
      </w:r>
      <w:proofErr w:type="spellEnd"/>
      <w:r w:rsidR="00725A5C">
        <w:rPr>
          <w:rFonts w:ascii="Times New Roman" w:hAnsi="Times New Roman" w:cs="Times New Roman"/>
          <w:sz w:val="24"/>
          <w:szCs w:val="24"/>
        </w:rPr>
        <w:t>, E.</w:t>
      </w:r>
      <w:r w:rsidRPr="008E4959">
        <w:rPr>
          <w:rFonts w:ascii="Times New Roman" w:hAnsi="Times New Roman" w:cs="Times New Roman"/>
          <w:sz w:val="24"/>
          <w:szCs w:val="24"/>
        </w:rPr>
        <w:t>, Moore</w:t>
      </w:r>
      <w:r w:rsidR="00725A5C">
        <w:rPr>
          <w:rFonts w:ascii="Times New Roman" w:hAnsi="Times New Roman" w:cs="Times New Roman"/>
          <w:sz w:val="24"/>
          <w:szCs w:val="24"/>
        </w:rPr>
        <w:t>, K</w:t>
      </w:r>
      <w:r w:rsidRPr="008E4959">
        <w:rPr>
          <w:rFonts w:ascii="Times New Roman" w:hAnsi="Times New Roman" w:cs="Times New Roman"/>
          <w:sz w:val="24"/>
          <w:szCs w:val="24"/>
        </w:rPr>
        <w:t>, Anderson</w:t>
      </w:r>
      <w:r w:rsidR="00725A5C">
        <w:rPr>
          <w:rFonts w:ascii="Times New Roman" w:hAnsi="Times New Roman" w:cs="Times New Roman"/>
          <w:sz w:val="24"/>
          <w:szCs w:val="24"/>
        </w:rPr>
        <w:t>, M.</w:t>
      </w:r>
      <w:r w:rsidR="00FA7A71" w:rsidRPr="008E4959">
        <w:rPr>
          <w:rFonts w:ascii="Times New Roman" w:hAnsi="Times New Roman" w:cs="Times New Roman"/>
          <w:sz w:val="24"/>
          <w:szCs w:val="24"/>
        </w:rPr>
        <w:t>…</w:t>
      </w:r>
      <w:r w:rsidR="00FA7A71">
        <w:rPr>
          <w:rFonts w:ascii="Times New Roman" w:hAnsi="Times New Roman" w:cs="Times New Roman"/>
          <w:sz w:val="24"/>
          <w:szCs w:val="24"/>
        </w:rPr>
        <w:t>,</w:t>
      </w:r>
      <w:r w:rsidR="00725A5C">
        <w:rPr>
          <w:rFonts w:ascii="Times New Roman" w:hAnsi="Times New Roman" w:cs="Times New Roman"/>
          <w:sz w:val="24"/>
          <w:szCs w:val="24"/>
        </w:rPr>
        <w:t xml:space="preserve"> Keck, R. (2016) </w:t>
      </w:r>
      <w:r w:rsidR="00725A5C" w:rsidRPr="00725A5C">
        <w:rPr>
          <w:rFonts w:ascii="Times New Roman" w:hAnsi="Times New Roman" w:cs="Times New Roman"/>
          <w:i/>
          <w:sz w:val="24"/>
          <w:szCs w:val="24"/>
        </w:rPr>
        <w:t>General Format</w:t>
      </w:r>
      <w:r w:rsidR="00725A5C">
        <w:rPr>
          <w:rFonts w:ascii="Times New Roman" w:hAnsi="Times New Roman" w:cs="Times New Roman"/>
          <w:sz w:val="24"/>
          <w:szCs w:val="24"/>
        </w:rPr>
        <w:t xml:space="preserve">. Retrieved from </w:t>
      </w:r>
      <w:hyperlink r:id="rId15" w:history="1">
        <w:r w:rsidR="00502E34" w:rsidRPr="002111DF">
          <w:rPr>
            <w:rStyle w:val="Hyperlink"/>
            <w:rFonts w:ascii="Times New Roman" w:hAnsi="Times New Roman" w:cs="Times New Roman"/>
            <w:sz w:val="24"/>
            <w:szCs w:val="24"/>
          </w:rPr>
          <w:t>https://owl.english.purdue.edu/owl/resource/560/01/</w:t>
        </w:r>
      </w:hyperlink>
      <w:r w:rsidR="00725A5C">
        <w:rPr>
          <w:rFonts w:ascii="Times New Roman" w:hAnsi="Times New Roman" w:cs="Times New Roman"/>
          <w:sz w:val="24"/>
          <w:szCs w:val="24"/>
        </w:rPr>
        <w:t>.</w:t>
      </w:r>
    </w:p>
    <w:p w:rsidR="00502E34" w:rsidRDefault="00502E34" w:rsidP="004E41BD">
      <w:pPr>
        <w:ind w:left="720" w:hanging="720"/>
        <w:rPr>
          <w:rFonts w:ascii="Times New Roman" w:hAnsi="Times New Roman" w:cs="Times New Roman"/>
          <w:sz w:val="24"/>
          <w:szCs w:val="24"/>
        </w:rPr>
      </w:pPr>
      <w:r>
        <w:rPr>
          <w:rFonts w:ascii="Times New Roman" w:hAnsi="Times New Roman" w:cs="Times New Roman"/>
          <w:sz w:val="24"/>
          <w:szCs w:val="24"/>
        </w:rPr>
        <w:t>U.S. Department of Health and Human Services.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502E34">
        <w:rPr>
          <w:rFonts w:ascii="Times New Roman" w:hAnsi="Times New Roman" w:cs="Times New Roman"/>
          <w:i/>
          <w:sz w:val="24"/>
          <w:szCs w:val="24"/>
        </w:rPr>
        <w:t>Summary of the HIPAA Privacy Rule</w:t>
      </w:r>
      <w:r>
        <w:rPr>
          <w:rFonts w:ascii="Times New Roman" w:hAnsi="Times New Roman" w:cs="Times New Roman"/>
          <w:sz w:val="24"/>
          <w:szCs w:val="24"/>
        </w:rPr>
        <w:t xml:space="preserve">. Retrieved from </w:t>
      </w:r>
      <w:hyperlink r:id="rId16" w:history="1">
        <w:r w:rsidR="00857D6F" w:rsidRPr="002111DF">
          <w:rPr>
            <w:rStyle w:val="Hyperlink"/>
            <w:rFonts w:ascii="Times New Roman" w:hAnsi="Times New Roman" w:cs="Times New Roman"/>
            <w:sz w:val="24"/>
            <w:szCs w:val="24"/>
          </w:rPr>
          <w:t>https://www.hhs.gov/hipaa/for-professionals/privacy/laws-regulations/index.html</w:t>
        </w:r>
      </w:hyperlink>
      <w:r>
        <w:rPr>
          <w:rFonts w:ascii="Times New Roman" w:hAnsi="Times New Roman" w:cs="Times New Roman"/>
          <w:sz w:val="24"/>
          <w:szCs w:val="24"/>
        </w:rPr>
        <w:t>.</w:t>
      </w:r>
    </w:p>
    <w:p w:rsidR="00857D6F" w:rsidRPr="00BE16D5" w:rsidRDefault="00857D6F" w:rsidP="004E41BD">
      <w:pPr>
        <w:ind w:left="720" w:hanging="720"/>
        <w:rPr>
          <w:rFonts w:ascii="Times New Roman" w:hAnsi="Times New Roman" w:cs="Times New Roman"/>
          <w:sz w:val="24"/>
          <w:szCs w:val="24"/>
        </w:rPr>
      </w:pPr>
      <w:r>
        <w:rPr>
          <w:rFonts w:ascii="Times New Roman" w:hAnsi="Times New Roman" w:cs="Times New Roman"/>
          <w:sz w:val="24"/>
          <w:szCs w:val="24"/>
        </w:rPr>
        <w:lastRenderedPageBreak/>
        <w:t>U.S. Department of Health and Human Services.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857D6F">
        <w:rPr>
          <w:rFonts w:ascii="Times New Roman" w:hAnsi="Times New Roman" w:cs="Times New Roman"/>
          <w:i/>
          <w:sz w:val="24"/>
          <w:szCs w:val="24"/>
        </w:rPr>
        <w:t>Informed Consent FAQs</w:t>
      </w:r>
      <w:r>
        <w:rPr>
          <w:rFonts w:ascii="Times New Roman" w:hAnsi="Times New Roman" w:cs="Times New Roman"/>
          <w:sz w:val="24"/>
          <w:szCs w:val="24"/>
        </w:rPr>
        <w:t xml:space="preserve">. Retrieved from </w:t>
      </w:r>
      <w:r w:rsidRPr="00857D6F">
        <w:rPr>
          <w:rFonts w:ascii="Times New Roman" w:hAnsi="Times New Roman" w:cs="Times New Roman"/>
          <w:sz w:val="24"/>
          <w:szCs w:val="24"/>
        </w:rPr>
        <w:t>https://www.hhs.gov/ohrp/regulations-and-policy/guidance/faq/informed-consent/index.html</w:t>
      </w:r>
      <w:r>
        <w:rPr>
          <w:rFonts w:ascii="Times New Roman" w:hAnsi="Times New Roman" w:cs="Times New Roman"/>
          <w:sz w:val="24"/>
          <w:szCs w:val="24"/>
        </w:rPr>
        <w:t>/</w:t>
      </w:r>
    </w:p>
    <w:sectPr w:rsidR="00857D6F" w:rsidRPr="00BE16D5" w:rsidSect="00A4180B">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D5" w:rsidRDefault="00AB40D5" w:rsidP="008E4959">
      <w:pPr>
        <w:spacing w:after="0" w:line="240" w:lineRule="auto"/>
      </w:pPr>
      <w:r>
        <w:separator/>
      </w:r>
    </w:p>
  </w:endnote>
  <w:endnote w:type="continuationSeparator" w:id="0">
    <w:p w:rsidR="00AB40D5" w:rsidRDefault="00AB40D5" w:rsidP="008E4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D5" w:rsidRDefault="00AB40D5" w:rsidP="008E4959">
      <w:pPr>
        <w:spacing w:after="0" w:line="240" w:lineRule="auto"/>
      </w:pPr>
      <w:r>
        <w:separator/>
      </w:r>
    </w:p>
  </w:footnote>
  <w:footnote w:type="continuationSeparator" w:id="0">
    <w:p w:rsidR="00AB40D5" w:rsidRDefault="00AB40D5" w:rsidP="008E4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644944"/>
      <w:docPartObj>
        <w:docPartGallery w:val="Page Numbers (Top of Page)"/>
        <w:docPartUnique/>
      </w:docPartObj>
    </w:sdtPr>
    <w:sdtEndPr>
      <w:rPr>
        <w:noProof/>
      </w:rPr>
    </w:sdtEndPr>
    <w:sdtContent>
      <w:p w:rsidR="003F466A" w:rsidRDefault="003F466A" w:rsidP="008E4959">
        <w:pPr>
          <w:pStyle w:val="Header"/>
        </w:pPr>
        <w:r>
          <w:t>FARGO HEALTH GROUP CARDIOVASCULAR EXAM PROJECTIONS</w:t>
        </w:r>
        <w:r>
          <w:tab/>
        </w:r>
        <w:r>
          <w:fldChar w:fldCharType="begin"/>
        </w:r>
        <w:r>
          <w:instrText xml:space="preserve"> PAGE   \* MERGEFORMAT </w:instrText>
        </w:r>
        <w:r>
          <w:fldChar w:fldCharType="separate"/>
        </w:r>
        <w:r w:rsidR="00AB0C87">
          <w:rPr>
            <w:noProof/>
          </w:rPr>
          <w:t>12</w:t>
        </w:r>
        <w:r>
          <w:rPr>
            <w:noProof/>
          </w:rPr>
          <w:fldChar w:fldCharType="end"/>
        </w:r>
      </w:p>
    </w:sdtContent>
  </w:sdt>
  <w:p w:rsidR="003F466A" w:rsidRDefault="003F46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66A" w:rsidRDefault="003F466A">
    <w:pPr>
      <w:pStyle w:val="Header"/>
    </w:pPr>
    <w:r>
      <w:t>Running head: FARGO HEALTH GROUP CARDIOVASCULAR EXAM PROJECTIONS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F47"/>
    <w:multiLevelType w:val="hybridMultilevel"/>
    <w:tmpl w:val="486A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A83F65"/>
    <w:multiLevelType w:val="hybridMultilevel"/>
    <w:tmpl w:val="8CF2813C"/>
    <w:lvl w:ilvl="0" w:tplc="BF1C3B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432FE"/>
    <w:multiLevelType w:val="hybridMultilevel"/>
    <w:tmpl w:val="CC6CF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29598F"/>
    <w:multiLevelType w:val="hybridMultilevel"/>
    <w:tmpl w:val="2A74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D5"/>
    <w:rsid w:val="0004081E"/>
    <w:rsid w:val="000705A9"/>
    <w:rsid w:val="00072355"/>
    <w:rsid w:val="000768DE"/>
    <w:rsid w:val="00117DDB"/>
    <w:rsid w:val="00211E0C"/>
    <w:rsid w:val="002510D2"/>
    <w:rsid w:val="002F1F4C"/>
    <w:rsid w:val="00322F3F"/>
    <w:rsid w:val="003561E5"/>
    <w:rsid w:val="003F466A"/>
    <w:rsid w:val="00403D48"/>
    <w:rsid w:val="004636C3"/>
    <w:rsid w:val="004978C7"/>
    <w:rsid w:val="004B2148"/>
    <w:rsid w:val="004C4953"/>
    <w:rsid w:val="004E41BD"/>
    <w:rsid w:val="00502E34"/>
    <w:rsid w:val="005112FF"/>
    <w:rsid w:val="00512103"/>
    <w:rsid w:val="00572DC8"/>
    <w:rsid w:val="0057396C"/>
    <w:rsid w:val="005C6188"/>
    <w:rsid w:val="005D795B"/>
    <w:rsid w:val="00606BD8"/>
    <w:rsid w:val="00670D63"/>
    <w:rsid w:val="006A7961"/>
    <w:rsid w:val="006D5165"/>
    <w:rsid w:val="007133E2"/>
    <w:rsid w:val="00725A5C"/>
    <w:rsid w:val="00810B89"/>
    <w:rsid w:val="00857D6F"/>
    <w:rsid w:val="008702DA"/>
    <w:rsid w:val="008C5819"/>
    <w:rsid w:val="008E2A0D"/>
    <w:rsid w:val="008E4959"/>
    <w:rsid w:val="009855A2"/>
    <w:rsid w:val="009C170E"/>
    <w:rsid w:val="00A33F8B"/>
    <w:rsid w:val="00A4180B"/>
    <w:rsid w:val="00A604EC"/>
    <w:rsid w:val="00A9153E"/>
    <w:rsid w:val="00AB0C87"/>
    <w:rsid w:val="00AB40D5"/>
    <w:rsid w:val="00B037FD"/>
    <w:rsid w:val="00B2255B"/>
    <w:rsid w:val="00BD73A1"/>
    <w:rsid w:val="00BE16D5"/>
    <w:rsid w:val="00C6089E"/>
    <w:rsid w:val="00D117C9"/>
    <w:rsid w:val="00D46E3D"/>
    <w:rsid w:val="00D54BD7"/>
    <w:rsid w:val="00DD6484"/>
    <w:rsid w:val="00DF1271"/>
    <w:rsid w:val="00E520B6"/>
    <w:rsid w:val="00EB4305"/>
    <w:rsid w:val="00EE4350"/>
    <w:rsid w:val="00F13EED"/>
    <w:rsid w:val="00F64A0C"/>
    <w:rsid w:val="00FA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D002E7-9BE7-44AE-A972-FA223816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6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6D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E49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959"/>
  </w:style>
  <w:style w:type="paragraph" w:styleId="Footer">
    <w:name w:val="footer"/>
    <w:basedOn w:val="Normal"/>
    <w:link w:val="FooterChar"/>
    <w:uiPriority w:val="99"/>
    <w:unhideWhenUsed/>
    <w:rsid w:val="008E49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959"/>
  </w:style>
  <w:style w:type="paragraph" w:styleId="ListParagraph">
    <w:name w:val="List Paragraph"/>
    <w:basedOn w:val="Normal"/>
    <w:uiPriority w:val="34"/>
    <w:qFormat/>
    <w:rsid w:val="00EB4305"/>
    <w:pPr>
      <w:ind w:left="720"/>
      <w:contextualSpacing/>
    </w:pPr>
  </w:style>
  <w:style w:type="paragraph" w:styleId="HTMLPreformatted">
    <w:name w:val="HTML Preformatted"/>
    <w:basedOn w:val="Normal"/>
    <w:link w:val="HTMLPreformattedChar"/>
    <w:uiPriority w:val="99"/>
    <w:semiHidden/>
    <w:unhideWhenUsed/>
    <w:rsid w:val="00A91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153E"/>
    <w:rPr>
      <w:rFonts w:ascii="Courier New" w:eastAsia="Times New Roman" w:hAnsi="Courier New" w:cs="Courier New"/>
      <w:sz w:val="20"/>
      <w:szCs w:val="20"/>
    </w:rPr>
  </w:style>
  <w:style w:type="paragraph" w:styleId="Caption">
    <w:name w:val="caption"/>
    <w:basedOn w:val="Normal"/>
    <w:next w:val="Normal"/>
    <w:uiPriority w:val="35"/>
    <w:unhideWhenUsed/>
    <w:qFormat/>
    <w:rsid w:val="00C6089E"/>
    <w:pPr>
      <w:spacing w:after="200" w:line="240" w:lineRule="auto"/>
    </w:pPr>
    <w:rPr>
      <w:i/>
      <w:iCs/>
      <w:color w:val="44546A" w:themeColor="text2"/>
      <w:sz w:val="18"/>
      <w:szCs w:val="18"/>
    </w:rPr>
  </w:style>
  <w:style w:type="table" w:styleId="TableGrid">
    <w:name w:val="Table Grid"/>
    <w:basedOn w:val="TableNormal"/>
    <w:uiPriority w:val="39"/>
    <w:rsid w:val="005C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4357">
      <w:bodyDiv w:val="1"/>
      <w:marLeft w:val="0"/>
      <w:marRight w:val="0"/>
      <w:marTop w:val="0"/>
      <w:marBottom w:val="0"/>
      <w:divBdr>
        <w:top w:val="none" w:sz="0" w:space="0" w:color="auto"/>
        <w:left w:val="none" w:sz="0" w:space="0" w:color="auto"/>
        <w:bottom w:val="none" w:sz="0" w:space="0" w:color="auto"/>
        <w:right w:val="none" w:sz="0" w:space="0" w:color="auto"/>
      </w:divBdr>
    </w:div>
    <w:div w:id="881869091">
      <w:bodyDiv w:val="1"/>
      <w:marLeft w:val="0"/>
      <w:marRight w:val="0"/>
      <w:marTop w:val="0"/>
      <w:marBottom w:val="0"/>
      <w:divBdr>
        <w:top w:val="none" w:sz="0" w:space="0" w:color="auto"/>
        <w:left w:val="none" w:sz="0" w:space="0" w:color="auto"/>
        <w:bottom w:val="none" w:sz="0" w:space="0" w:color="auto"/>
        <w:right w:val="none" w:sz="0" w:space="0" w:color="auto"/>
      </w:divBdr>
    </w:div>
    <w:div w:id="1025906111">
      <w:bodyDiv w:val="1"/>
      <w:marLeft w:val="0"/>
      <w:marRight w:val="0"/>
      <w:marTop w:val="0"/>
      <w:marBottom w:val="0"/>
      <w:divBdr>
        <w:top w:val="none" w:sz="0" w:space="0" w:color="auto"/>
        <w:left w:val="none" w:sz="0" w:space="0" w:color="auto"/>
        <w:bottom w:val="none" w:sz="0" w:space="0" w:color="auto"/>
        <w:right w:val="none" w:sz="0" w:space="0" w:color="auto"/>
      </w:divBdr>
    </w:div>
    <w:div w:id="1172601314">
      <w:bodyDiv w:val="1"/>
      <w:marLeft w:val="0"/>
      <w:marRight w:val="0"/>
      <w:marTop w:val="0"/>
      <w:marBottom w:val="0"/>
      <w:divBdr>
        <w:top w:val="none" w:sz="0" w:space="0" w:color="auto"/>
        <w:left w:val="none" w:sz="0" w:space="0" w:color="auto"/>
        <w:bottom w:val="none" w:sz="0" w:space="0" w:color="auto"/>
        <w:right w:val="none" w:sz="0" w:space="0" w:color="auto"/>
      </w:divBdr>
    </w:div>
    <w:div w:id="1640376184">
      <w:bodyDiv w:val="1"/>
      <w:marLeft w:val="0"/>
      <w:marRight w:val="0"/>
      <w:marTop w:val="0"/>
      <w:marBottom w:val="0"/>
      <w:divBdr>
        <w:top w:val="none" w:sz="0" w:space="0" w:color="auto"/>
        <w:left w:val="none" w:sz="0" w:space="0" w:color="auto"/>
        <w:bottom w:val="none" w:sz="0" w:space="0" w:color="auto"/>
        <w:right w:val="none" w:sz="0" w:space="0" w:color="auto"/>
      </w:divBdr>
    </w:div>
    <w:div w:id="169495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hhs.gov/hipaa/for-professionals/privacy/laws-regulations/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owl.english.purdue.edu/owl/resource/560/01/"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web/packages/Amelia/Ameli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C8848-0842-45FA-86F0-1E5368A8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Schneider</dc:creator>
  <cp:keywords/>
  <dc:description/>
  <cp:lastModifiedBy>Schneider, Deanna</cp:lastModifiedBy>
  <cp:revision>4</cp:revision>
  <dcterms:created xsi:type="dcterms:W3CDTF">2017-07-20T18:28:00Z</dcterms:created>
  <dcterms:modified xsi:type="dcterms:W3CDTF">2017-08-03T18:26:00Z</dcterms:modified>
</cp:coreProperties>
</file>