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2/9/23</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t xml:space="preserve">Globally,</w:t>
      </w:r>
      <w:r>
        <w:t xml:space="preserve"> </w:t>
      </w:r>
      <w:r>
        <w:rPr>
          <w:iCs/>
          <w:i/>
        </w:rPr>
        <w:t xml:space="preserve">Salmonella</w:t>
      </w:r>
      <w:r>
        <w:t xml:space="preserve"> </w:t>
      </w:r>
      <w:r>
        <w:t xml:space="preserve">is a significant public health threat. We evaluated the persistence of</w:t>
      </w:r>
      <w:r>
        <w:t xml:space="preserve"> </w:t>
      </w:r>
      <w:r>
        <w:rPr>
          <w:iCs/>
          <w:i/>
        </w:rPr>
        <w:t xml:space="preserve">Salmonella</w:t>
      </w:r>
      <w:r>
        <w:t xml:space="preserve"> </w:t>
      </w:r>
      <w:r>
        <w:t xml:space="preserve">on various surface materials (e.g., picnic tables and bird feeders). Our studies suggest that</w:t>
      </w:r>
      <w:r>
        <w:t xml:space="preserve"> </w:t>
      </w:r>
      <w:r>
        <w:rPr>
          <w:iCs/>
          <w:i/>
        </w:rPr>
        <w:t xml:space="preserve">Salmonella</w:t>
      </w:r>
      <w:r>
        <w:t xml:space="preserve"> </w:t>
      </w:r>
      <w:r>
        <w:t xml:space="preserve">can have prolonged persistence on shared spaces. However, persistence depends on surface material and precautionary measures should be adopted to reduce exposure.</w:t>
      </w:r>
    </w:p>
    <w:p>
      <w:r>
        <w:br w:type="page"/>
      </w:r>
    </w:p>
    <w:bookmarkEnd w:id="22"/>
    <w:bookmarkStart w:id="25" w:name="introduction-why-salmonella"/>
    <w:p>
      <w:pPr>
        <w:pStyle w:val="Heading1"/>
      </w:pPr>
      <w:r>
        <w:t xml:space="preserve">2. Introduction (Why</w:t>
      </w:r>
      <w:r>
        <w:t xml:space="preserve"> </w:t>
      </w:r>
      <w:r>
        <w:rPr>
          <w:iCs/>
          <w:i/>
        </w:rPr>
        <w:t xml:space="preserve">Salmonella</w:t>
      </w:r>
      <w:r>
        <w:t xml:space="preserve">?)</w:t>
      </w:r>
    </w:p>
    <w:p>
      <w:pPr>
        <w:pStyle w:val="FirstParagraph"/>
      </w:pPr>
      <w:r>
        <w:rPr>
          <w:iCs/>
          <w:i/>
        </w:rPr>
        <w:t xml:space="preserve">Salmonella enterica</w:t>
      </w:r>
      <w:r>
        <w:t xml:space="preserve"> </w:t>
      </w:r>
      <w:r>
        <w:t xml:space="preserve">infections are a significant public health threat, responsible for over 93 million annual cases of human illness worldwide. In the United States alone, 1.35 million cases of salmonellosis and 420 deaths are reported annually. Most cases of human salmonellosis are caused by food-borne</w:t>
      </w:r>
      <w:r>
        <w:t xml:space="preserve"> </w:t>
      </w:r>
      <w:r>
        <w:rPr>
          <w:iCs/>
          <w:i/>
        </w:rPr>
        <w:t xml:space="preserve">Salmonella</w:t>
      </w:r>
      <w:r>
        <w:t xml:space="preserve"> </w:t>
      </w:r>
      <w:r>
        <w:t xml:space="preserve">strains associated with produce or undercooked meat. However, a rising subset of human infections are often associated with unidentified environmental exposures or contact with animals.</w:t>
      </w:r>
    </w:p>
    <w:p>
      <w:pPr>
        <w:pStyle w:val="BodyText"/>
      </w:pPr>
      <w:r>
        <w:t xml:space="preserve">The American white ibis (Eudocimus albus), forms large nesting colonies in natural wetlands. However, due to habitat destruction in Everglades National Park, this gregarious member of the Pelecaniformes, has begun to urbanize parks with abundant anthropgenic food and water resources throughout South Florida. Infection with</w:t>
      </w:r>
      <w:r>
        <w:t xml:space="preserve"> </w:t>
      </w:r>
      <w:r>
        <w:rPr>
          <w:iCs/>
          <w:i/>
        </w:rPr>
        <w:t xml:space="preserve">Salmonella</w:t>
      </w:r>
      <w:r>
        <w:t xml:space="preserve"> </w:t>
      </w:r>
      <w:r>
        <w:t xml:space="preserve">spp. in American white ibis is well documented. It has been found that ibis can harbor diverse</w:t>
      </w:r>
      <w:r>
        <w:t xml:space="preserve"> </w:t>
      </w:r>
      <w:r>
        <w:rPr>
          <w:iCs/>
          <w:i/>
        </w:rPr>
        <w:t xml:space="preserve">Salmonella</w:t>
      </w:r>
      <w:r>
        <w:t xml:space="preserve"> </w:t>
      </w:r>
      <w:r>
        <w:t xml:space="preserve">strains and shed it at a higher prevalence than their natural counterparts. Studies have genetically matched the</w:t>
      </w:r>
      <w:r>
        <w:t xml:space="preserve"> </w:t>
      </w:r>
      <w:r>
        <w:rPr>
          <w:iCs/>
          <w:i/>
        </w:rPr>
        <w:t xml:space="preserve">Salmonella</w:t>
      </w:r>
      <w:r>
        <w:t xml:space="preserve"> </w:t>
      </w:r>
      <w:r>
        <w:t xml:space="preserve">shed by ibis to human salmonellosis cases in South Florida during the same time period ibis were sampled.</w:t>
      </w:r>
    </w:p>
    <w:p>
      <w:pPr>
        <w:pStyle w:val="BodyText"/>
      </w:pPr>
      <w:r>
        <w:t xml:space="preserve">Similarly, in 2021, following an epidemiological investigation of 29 human cases of</w:t>
      </w:r>
      <w:r>
        <w:t xml:space="preserve"> </w:t>
      </w:r>
      <w:r>
        <w:rPr>
          <w:iCs/>
          <w:i/>
        </w:rPr>
        <w:t xml:space="preserve">Salmonella enterica</w:t>
      </w:r>
      <w:r>
        <w:t xml:space="preserve"> </w:t>
      </w:r>
      <w:r>
        <w:t xml:space="preserve">serovar Typhimurium (</w:t>
      </w:r>
      <w:r>
        <w:rPr>
          <w:iCs/>
          <w:i/>
        </w:rPr>
        <w:t xml:space="preserve">S.</w:t>
      </w:r>
      <w:r>
        <w:t xml:space="preserve"> </w:t>
      </w:r>
      <w:r>
        <w:t xml:space="preserve">Typhimurium), the Centers for Disease Control and Prevention (CDC) documented a relationship between human cases and a concurrent avian salmonellosis outbreak. Of the 29 cases, 14 individuals were hospitalized and the outbreak was likely due to contact with bird feeders, sick or dead wild birds, or pets that had contact with wild birds.</w:t>
      </w:r>
    </w:p>
    <w:p>
      <w:pPr>
        <w:pStyle w:val="BodyText"/>
      </w:pPr>
      <w:r>
        <w:t xml:space="preserve">Persistence of</w:t>
      </w:r>
      <w:r>
        <w:t xml:space="preserve"> </w:t>
      </w:r>
      <w:r>
        <w:rPr>
          <w:iCs/>
          <w:i/>
        </w:rPr>
        <w:t xml:space="preserve">Salmonella</w:t>
      </w:r>
      <w:r>
        <w:t xml:space="preserve"> </w:t>
      </w:r>
      <w:r>
        <w:t xml:space="preserve">can be affected by ambient temperature, presence/absence of a biofilm, and environmental nutrient conditions. Under ideal conditions (e.g. optimal temperature 35-43°C, pH 7-7.5, etc.),</w:t>
      </w:r>
      <w:r>
        <w:t xml:space="preserve"> </w:t>
      </w:r>
      <w:r>
        <w:rPr>
          <w:iCs/>
          <w:i/>
        </w:rPr>
        <w:t xml:space="preserve">Salmonella</w:t>
      </w:r>
      <w:r>
        <w:t xml:space="preserve"> </w:t>
      </w:r>
      <w:r>
        <w:t xml:space="preserve">is known to persist in the environment for extended periods of time. While</w:t>
      </w:r>
      <w:r>
        <w:t xml:space="preserve"> </w:t>
      </w:r>
      <w:r>
        <w:rPr>
          <w:iCs/>
          <w:i/>
        </w:rPr>
        <w:t xml:space="preserve">Salmonella</w:t>
      </w:r>
      <w:r>
        <w:t xml:space="preserve"> </w:t>
      </w:r>
      <w:r>
        <w:t xml:space="preserve">persistence has been examined on soil and poultry litter, there is a lack of understanding of the persistence of</w:t>
      </w:r>
      <w:r>
        <w:t xml:space="preserve"> </w:t>
      </w:r>
      <w:r>
        <w:rPr>
          <w:iCs/>
          <w:i/>
        </w:rPr>
        <w:t xml:space="preserve">Salmonella</w:t>
      </w:r>
      <w:r>
        <w:t xml:space="preserve"> </w:t>
      </w:r>
      <w:r>
        <w:t xml:space="preserve">on various surfaces including wood, plastic, and surfaces lined with antimicrobial coatings.</w:t>
      </w:r>
    </w:p>
    <w:bookmarkStart w:id="23" w:name="description-of-data-and-data-source"/>
    <w:p>
      <w:pPr>
        <w:pStyle w:val="Heading2"/>
      </w:pPr>
      <w:r>
        <w:t xml:space="preserve">2.1 Description of data and data source</w:t>
      </w:r>
    </w:p>
    <w:p>
      <w:pPr>
        <w:pStyle w:val="FirstParagraph"/>
      </w:pPr>
      <w:r>
        <w:t xml:space="preserve">The data selected for my MADA project is persistence and prevalence data from two trial studies. The first trial was conducted in South Florida where picnic tables, under the same pavilion and exposed to conditions known to affect</w:t>
      </w:r>
      <w:r>
        <w:t xml:space="preserve"> </w:t>
      </w:r>
      <w:r>
        <w:rPr>
          <w:iCs/>
          <w:i/>
        </w:rPr>
        <w:t xml:space="preserve">Salmonella</w:t>
      </w:r>
      <w:r>
        <w:t xml:space="preserve">, were selected, swabbed daily for a week and shipped back to the University of Georgia for</w:t>
      </w:r>
      <w:r>
        <w:t xml:space="preserve"> </w:t>
      </w:r>
      <w:r>
        <w:rPr>
          <w:iCs/>
          <w:i/>
        </w:rPr>
        <w:t xml:space="preserve">Salmonella</w:t>
      </w:r>
      <w:r>
        <w:t xml:space="preserve"> </w:t>
      </w:r>
      <w:r>
        <w:t xml:space="preserve">isolation. The second trial was conducted in Athens, Georgia, at Whitehall Forest in a modified shade house. Bird feeders of different materials (e.g., cedar, plastic, plastic coated, and wood coated) were hung in triplicate and seeded with an isolate of</w:t>
      </w:r>
      <w:r>
        <w:t xml:space="preserve"> </w:t>
      </w:r>
      <w:r>
        <w:rPr>
          <w:iCs/>
          <w:i/>
        </w:rPr>
        <w:t xml:space="preserve">S.</w:t>
      </w:r>
      <w:r>
        <w:t xml:space="preserve"> </w:t>
      </w:r>
      <w:r>
        <w:t xml:space="preserve">Typhimurium isolated from a songbird.</w:t>
      </w:r>
    </w:p>
    <w:p>
      <w:pPr>
        <w:pStyle w:val="BodyText"/>
      </w:pPr>
      <w:r>
        <w:t xml:space="preserve">The data from the first trial in South Florida was collected by an undergraduate student of Dr. Sonia Hernandez and provided to me by Dr. Hernandez. All data from the Feeder Trial was collected by me, Kimberly Perez under the guidance of Dr. Sonia Hernandez.</w:t>
      </w:r>
    </w:p>
    <w:p>
      <w:pPr>
        <w:pStyle w:val="BodyText"/>
      </w:pPr>
      <w:r>
        <w:t xml:space="preserve">The Picnic Table Trial data is composed of several worksheets embedded in one excel file. After viewing the file (and running it below), there seems to be 192 observations. I am not sure how the Picnic Table Trial was collected but hope to visit with Dr. Hernandez regarding data collection methods soon. Feeder Trial data was collected and noted upon confirmation of</w:t>
      </w:r>
      <w:r>
        <w:t xml:space="preserve"> </w:t>
      </w:r>
      <w:r>
        <w:rPr>
          <w:iCs/>
          <w:i/>
        </w:rPr>
        <w:t xml:space="preserve">Salmonella</w:t>
      </w:r>
      <w:r>
        <w:t xml:space="preserve"> </w:t>
      </w:r>
      <w:r>
        <w:t xml:space="preserve">from processed samples. There are 144 observations for the Feeder Trial which spanned nearly 2 months. For both trials, we were attempting to measure</w:t>
      </w:r>
      <w:r>
        <w:t xml:space="preserve"> </w:t>
      </w:r>
      <w:r>
        <w:rPr>
          <w:iCs/>
          <w:i/>
        </w:rPr>
        <w:t xml:space="preserve">Salmonella</w:t>
      </w:r>
      <w:r>
        <w:t xml:space="preserve"> </w:t>
      </w:r>
      <w:r>
        <w:t xml:space="preserve">persistence. The Picnic Table Trial collected data in an attempt to measure prevalence as well. (Please Note: Aforementioned data was imported under</w:t>
      </w:r>
      <w:r>
        <w:t xml:space="preserve"> </w:t>
      </w:r>
      <w:r>
        <w:t xml:space="preserve">“</w:t>
      </w:r>
      <w:r>
        <w:t xml:space="preserve">Data import and cleaning</w:t>
      </w:r>
      <w:r>
        <w:t xml:space="preserve">”</w:t>
      </w:r>
      <w:r>
        <w:t xml:space="preserve"> </w:t>
      </w:r>
      <w:r>
        <w:t xml:space="preserve">section.)</w:t>
      </w:r>
    </w:p>
    <w:bookmarkEnd w:id="23"/>
    <w:bookmarkStart w:id="24" w:name="questionshypotheses-to-be-addressed"/>
    <w:p>
      <w:pPr>
        <w:pStyle w:val="Heading2"/>
      </w:pPr>
      <w:r>
        <w:t xml:space="preserve">2.2 Questions/Hypotheses to be addressed</w:t>
      </w:r>
    </w:p>
    <w:p>
      <w:pPr>
        <w:pStyle w:val="FirstParagraph"/>
      </w:pPr>
      <w:r>
        <w:t xml:space="preserve">Given the uncertainty of</w:t>
      </w:r>
      <w:r>
        <w:t xml:space="preserve"> </w:t>
      </w:r>
      <w:r>
        <w:rPr>
          <w:iCs/>
          <w:i/>
        </w:rPr>
        <w:t xml:space="preserve">Salmonella’s</w:t>
      </w:r>
      <w:r>
        <w:t xml:space="preserve"> </w:t>
      </w:r>
      <w:r>
        <w:t xml:space="preserve">persistence on various surface materials, from my data I would like to answer:</w:t>
      </w:r>
      <w:r>
        <w:t xml:space="preserve"> </w:t>
      </w:r>
      <w:r>
        <w:t xml:space="preserve">- What is the prevalence of</w:t>
      </w:r>
      <w:r>
        <w:t xml:space="preserve"> </w:t>
      </w:r>
      <w:r>
        <w:rPr>
          <w:iCs/>
          <w:i/>
        </w:rPr>
        <w:t xml:space="preserve">Salmonella</w:t>
      </w:r>
      <w:r>
        <w:t xml:space="preserve"> </w:t>
      </w:r>
      <w:r>
        <w:t xml:space="preserve">over time?</w:t>
      </w:r>
      <w:r>
        <w:t xml:space="preserve"> </w:t>
      </w:r>
      <w:r>
        <w:t xml:space="preserve">- How long does</w:t>
      </w:r>
      <w:r>
        <w:t xml:space="preserve"> </w:t>
      </w:r>
      <w:r>
        <w:rPr>
          <w:iCs/>
          <w:i/>
        </w:rPr>
        <w:t xml:space="preserve">Salmonella</w:t>
      </w:r>
      <w:r>
        <w:t xml:space="preserve"> </w:t>
      </w:r>
      <w:r>
        <w:t xml:space="preserve">persist on different surface materials (e.g., wood, plastic, and those with an antimicrobial coating) exposed to various climatic factors (e.g., rain, sun, changing temperatures)</w:t>
      </w:r>
    </w:p>
    <w:p>
      <w:pPr>
        <w:pStyle w:val="BodyText"/>
      </w:pPr>
      <w:r>
        <w:t xml:space="preserve">From these questions, I hope to better inform the public and public health practitioners on safer feeder handling methods and precautions to take when frequenting public locations where humans and wildlife (e.g., ibis) interact.</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4"/>
    <w:bookmarkEnd w:id="25"/>
    <w:bookmarkStart w:id="27" w:name="methods"/>
    <w:p>
      <w:pPr>
        <w:pStyle w:val="Heading1"/>
      </w:pPr>
      <w:r>
        <w:t xml:space="preserve">3. Methods</w:t>
      </w:r>
    </w:p>
    <w:p>
      <w:pPr>
        <w:pStyle w:val="FirstParagraph"/>
      </w:pPr>
      <w:r>
        <w:t xml:space="preserve">Coming soon…</w:t>
      </w:r>
      <w:r>
        <w:t xml:space="preserve"> </w:t>
      </w:r>
      <w:r>
        <w:rPr>
          <w:iCs/>
          <w:i/>
        </w:rPr>
        <w:t xml:space="preserve">Describe your methods. That should describe the data, the cleaning processes, and the analysis approaches. You might want to provide a shorter description here and all the details in the supplement.</w:t>
      </w:r>
    </w:p>
    <w:bookmarkStart w:id="26"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p>
      <w:pPr>
        <w:pStyle w:val="BodyText"/>
      </w:pPr>
      <w:r>
        <w:t xml:space="preserve">The data from the first trial in South Florida was collected by an undergraduate student of Dr. Sonia Hernandez and provided to me by Dr. Hernandez. All data from the Feeder Trial was collected by me, Kimberly Perez under the guidance of Dr. Sonia Hernandez.</w:t>
      </w:r>
    </w:p>
    <w:bookmarkEnd w:id="26"/>
    <w:bookmarkEnd w:id="27"/>
    <w:bookmarkStart w:id="31" w:name="data-import-and-cleaning"/>
    <w:p>
      <w:pPr>
        <w:pStyle w:val="Heading1"/>
      </w:pPr>
      <w:r>
        <w:t xml:space="preserve">4. Data import and cleaning</w:t>
      </w:r>
    </w:p>
    <w:bookmarkStart w:id="28" w:name="picnic-table-data"/>
    <w:p>
      <w:pPr>
        <w:pStyle w:val="Heading2"/>
      </w:pPr>
      <w:r>
        <w:t xml:space="preserve">4.1 Picnic Table Data</w:t>
      </w:r>
    </w:p>
    <w:p>
      <w:pPr>
        <w:pStyle w:val="SourceCode"/>
      </w:pPr>
      <w:r>
        <w:rPr>
          <w:rStyle w:val="FunctionTok"/>
        </w:rPr>
        <w:t xml:space="preserve">library</w:t>
      </w:r>
      <w:r>
        <w:rPr>
          <w:rStyle w:val="NormalTok"/>
        </w:rPr>
        <w:t xml:space="preserve">(readxl)</w:t>
      </w:r>
      <w:r>
        <w:br/>
      </w:r>
      <w:r>
        <w:rPr>
          <w:rStyle w:val="NormalTok"/>
        </w:rPr>
        <w:t xml:space="preserve">PTD</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"Picnic_Table_Data.xlsx"</w:t>
      </w:r>
      <w:r>
        <w:rPr>
          <w:rStyle w:val="NormalTok"/>
        </w:rPr>
        <w:t xml:space="preserve">))</w:t>
      </w:r>
    </w:p>
    <w:p>
      <w:pPr>
        <w:pStyle w:val="SourceCode"/>
      </w:pPr>
      <w:r>
        <w:rPr>
          <w:rStyle w:val="VerbatimChar"/>
        </w:rPr>
        <w:t xml:space="preserve">New names:</w:t>
      </w:r>
      <w:r>
        <w:br/>
      </w:r>
      <w:r>
        <w:rPr>
          <w:rStyle w:val="VerbatimChar"/>
        </w:rPr>
        <w:t xml:space="preserve">• `` -&gt; `...13`</w:t>
      </w:r>
    </w:p>
    <w:p>
      <w:pPr>
        <w:pStyle w:val="SourceCode"/>
      </w:pPr>
      <w:r>
        <w:rPr>
          <w:rStyle w:val="FunctionTok"/>
        </w:rPr>
        <w:t xml:space="preserve">View</w:t>
      </w:r>
      <w:r>
        <w:rPr>
          <w:rStyle w:val="NormalTok"/>
        </w:rPr>
        <w:t xml:space="preserve">(PTD)</w:t>
      </w:r>
      <w:r>
        <w:br/>
      </w:r>
      <w:r>
        <w:rPr>
          <w:rStyle w:val="FunctionTok"/>
        </w:rPr>
        <w:t xml:space="preserve">summary</w:t>
      </w:r>
      <w:r>
        <w:rPr>
          <w:rStyle w:val="NormalTok"/>
        </w:rPr>
        <w:t xml:space="preserve">(PTD)</w:t>
      </w:r>
    </w:p>
    <w:p>
      <w:pPr>
        <w:pStyle w:val="SourceCode"/>
      </w:pPr>
      <w:r>
        <w:rPr>
          <w:rStyle w:val="VerbatimChar"/>
        </w:rPr>
        <w:t xml:space="preserve">  Sample ID              Day            Date                         Table  </w:t>
      </w:r>
      <w:r>
        <w:br/>
      </w:r>
      <w:r>
        <w:rPr>
          <w:rStyle w:val="VerbatimChar"/>
        </w:rPr>
        <w:t xml:space="preserve"> Length:192         Min.   :1.00   Min.   :2020-01-02 00:00:00   Min.   :1  </w:t>
      </w:r>
      <w:r>
        <w:br/>
      </w:r>
      <w:r>
        <w:rPr>
          <w:rStyle w:val="VerbatimChar"/>
        </w:rPr>
        <w:t xml:space="preserve"> Class :character   1st Qu.:2.75   1st Qu.:2020-01-03 18:00:00   1st Qu.:1  </w:t>
      </w:r>
      <w:r>
        <w:br/>
      </w:r>
      <w:r>
        <w:rPr>
          <w:rStyle w:val="VerbatimChar"/>
        </w:rPr>
        <w:t xml:space="preserve"> Mode  :character   Median :4.50   Median :2020-01-05 12:00:00   Median :2  </w:t>
      </w:r>
      <w:r>
        <w:br/>
      </w:r>
      <w:r>
        <w:rPr>
          <w:rStyle w:val="VerbatimChar"/>
        </w:rPr>
        <w:t xml:space="preserve">                    Mean   :4.50   Mean   :2020-01-05 12:00:00   Mean   :2  </w:t>
      </w:r>
      <w:r>
        <w:br/>
      </w:r>
      <w:r>
        <w:rPr>
          <w:rStyle w:val="VerbatimChar"/>
        </w:rPr>
        <w:t xml:space="preserve">                    3rd Qu.:6.25   3rd Qu.:2020-01-07 06:00:00   3rd Qu.:3  </w:t>
      </w:r>
      <w:r>
        <w:br/>
      </w:r>
      <w:r>
        <w:rPr>
          <w:rStyle w:val="VerbatimChar"/>
        </w:rPr>
        <w:t xml:space="preserve">                    Max.   :8.00   Max.   :2020-01-09 00:00:00   Max.   :3  </w:t>
      </w:r>
      <w:r>
        <w:br/>
      </w:r>
      <w:r>
        <w:rPr>
          <w:rStyle w:val="VerbatimChar"/>
        </w:rPr>
        <w:t xml:space="preserve">    Quadrant    Sample Type (Pooled or Persistence)</w:t>
      </w:r>
      <w:r>
        <w:br/>
      </w:r>
      <w:r>
        <w:rPr>
          <w:rStyle w:val="VerbatimChar"/>
        </w:rPr>
        <w:t xml:space="preserve"> Min.   :1.00   Length:192                         </w:t>
      </w:r>
      <w:r>
        <w:br/>
      </w:r>
      <w:r>
        <w:rPr>
          <w:rStyle w:val="VerbatimChar"/>
        </w:rPr>
        <w:t xml:space="preserve"> 1st Qu.:1.75   Class :character                   </w:t>
      </w:r>
      <w:r>
        <w:br/>
      </w:r>
      <w:r>
        <w:rPr>
          <w:rStyle w:val="VerbatimChar"/>
        </w:rPr>
        <w:t xml:space="preserve"> Median :2.50   Mode  :character                   </w:t>
      </w:r>
      <w:r>
        <w:br/>
      </w:r>
      <w:r>
        <w:rPr>
          <w:rStyle w:val="VerbatimChar"/>
        </w:rPr>
        <w:t xml:space="preserve"> Mean   :2.50                                      </w:t>
      </w:r>
      <w:r>
        <w:br/>
      </w:r>
      <w:r>
        <w:rPr>
          <w:rStyle w:val="VerbatimChar"/>
        </w:rPr>
        <w:t xml:space="preserve"> 3rd Qu.:3.25                                      </w:t>
      </w:r>
      <w:r>
        <w:br/>
      </w:r>
      <w:r>
        <w:rPr>
          <w:rStyle w:val="VerbatimChar"/>
        </w:rPr>
        <w:t xml:space="preserve"> Max.   :4.00                                      </w:t>
      </w:r>
      <w:r>
        <w:br/>
      </w:r>
      <w:r>
        <w:rPr>
          <w:rStyle w:val="VerbatimChar"/>
        </w:rPr>
        <w:t xml:space="preserve">  Shippng Date                    Notes           STAB TUBE NUMBER  </w:t>
      </w:r>
      <w:r>
        <w:br/>
      </w:r>
      <w:r>
        <w:rPr>
          <w:rStyle w:val="VerbatimChar"/>
        </w:rPr>
        <w:t xml:space="preserve"> Min.   :2020-01-06 00:00:00   Length:192         Length:192        </w:t>
      </w:r>
      <w:r>
        <w:br/>
      </w:r>
      <w:r>
        <w:rPr>
          <w:rStyle w:val="VerbatimChar"/>
        </w:rPr>
        <w:t xml:space="preserve"> 1st Qu.:2020-01-06 00:00:00   Class :character   Class :character  </w:t>
      </w:r>
      <w:r>
        <w:br/>
      </w:r>
      <w:r>
        <w:rPr>
          <w:rStyle w:val="VerbatimChar"/>
        </w:rPr>
        <w:t xml:space="preserve"> Median :2020-01-07 00:00:00   Mode  :character   Mode  :character  </w:t>
      </w:r>
      <w:r>
        <w:br/>
      </w:r>
      <w:r>
        <w:rPr>
          <w:rStyle w:val="VerbatimChar"/>
        </w:rPr>
        <w:t xml:space="preserve"> Mean   :2020-01-07 06:00:00                                        </w:t>
      </w:r>
      <w:r>
        <w:br/>
      </w:r>
      <w:r>
        <w:rPr>
          <w:rStyle w:val="VerbatimChar"/>
        </w:rPr>
        <w:t xml:space="preserve"> 3rd Qu.:2020-01-08 06:00:00                                        </w:t>
      </w:r>
      <w:r>
        <w:br/>
      </w:r>
      <w:r>
        <w:rPr>
          <w:rStyle w:val="VerbatimChar"/>
        </w:rPr>
        <w:t xml:space="preserve"> Max.   :2020-01-09 00:00:00                                        </w:t>
      </w:r>
      <w:r>
        <w:br/>
      </w:r>
      <w:r>
        <w:rPr>
          <w:rStyle w:val="VerbatimChar"/>
        </w:rPr>
        <w:t xml:space="preserve"> ORIGIN OF FECES    Original PP still intact? Pos orNeg         ...13          </w:t>
      </w:r>
      <w:r>
        <w:br/>
      </w:r>
      <w:r>
        <w:rPr>
          <w:rStyle w:val="VerbatimChar"/>
        </w:rPr>
        <w:t xml:space="preserve"> Length:192         Length:192                Mode:logical   Length:192        </w:t>
      </w:r>
      <w:r>
        <w:br/>
      </w:r>
      <w:r>
        <w:rPr>
          <w:rStyle w:val="VerbatimChar"/>
        </w:rPr>
        <w:t xml:space="preserve"> Class :character   Class :character          NA's:192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bookmarkEnd w:id="28"/>
    <w:bookmarkStart w:id="29" w:name="feeder-data"/>
    <w:p>
      <w:pPr>
        <w:pStyle w:val="Heading2"/>
      </w:pPr>
      <w:r>
        <w:t xml:space="preserve">4.2 Feeder Data</w:t>
      </w:r>
    </w:p>
    <w:p>
      <w:pPr>
        <w:pStyle w:val="SourceCode"/>
      </w:pPr>
      <w:r>
        <w:rPr>
          <w:rStyle w:val="FunctionTok"/>
        </w:rPr>
        <w:t xml:space="preserve">library</w:t>
      </w:r>
      <w:r>
        <w:rPr>
          <w:rStyle w:val="NormalTok"/>
        </w:rPr>
        <w:t xml:space="preserve">(readr)</w:t>
      </w:r>
      <w:r>
        <w:br/>
      </w:r>
      <w:r>
        <w:rPr>
          <w:rStyle w:val="NormalTok"/>
        </w:rPr>
        <w:t xml:space="preserve">FD</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"Feeder Data.csv"</w:t>
      </w:r>
      <w:r>
        <w:rPr>
          <w:rStyle w:val="NormalTok"/>
        </w:rPr>
        <w:t xml:space="preserve">))</w:t>
      </w:r>
    </w:p>
    <w:p>
      <w:pPr>
        <w:pStyle w:val="SourceCode"/>
      </w:pPr>
      <w:r>
        <w:rPr>
          <w:rStyle w:val="VerbatimChar"/>
        </w:rPr>
        <w:t xml:space="preserve">New names:</w:t>
      </w:r>
      <w:r>
        <w:br/>
      </w:r>
      <w:r>
        <w:rPr>
          <w:rStyle w:val="VerbatimChar"/>
        </w:rPr>
        <w:t xml:space="preserve">Rows: 144 Columns: 6</w:t>
      </w:r>
      <w:r>
        <w:br/>
      </w:r>
      <w:r>
        <w:rPr>
          <w:rStyle w:val="VerbatimChar"/>
        </w:rPr>
        <w:t xml:space="preserve">── Column specification</w:t>
      </w:r>
      <w:r>
        <w:br/>
      </w:r>
      <w:r>
        <w:rPr>
          <w:rStyle w:val="VerbatimChar"/>
        </w:rPr>
        <w:t xml:space="preserve">──────────────────────────────────────────────────────── Delimiter: "," chr</w:t>
      </w:r>
      <w:r>
        <w:br/>
      </w:r>
      <w:r>
        <w:rPr>
          <w:rStyle w:val="VerbatimChar"/>
        </w:rPr>
        <w:t xml:space="preserve">(2): Collection_Date, Feeder_Type dbl (2): Feeder_number, Absence_0_Presence_1</w:t>
      </w:r>
      <w:r>
        <w:br/>
      </w:r>
      <w:r>
        <w:rPr>
          <w:rStyle w:val="VerbatimChar"/>
        </w:rPr>
        <w:t xml:space="preserve">lgl (2): ...5, Absence (0)/Presence (1)</w:t>
      </w:r>
      <w:r>
        <w:br/>
      </w:r>
      <w:r>
        <w:rPr>
          <w:rStyle w:val="VerbatimChar"/>
        </w:rPr>
        <w:t xml:space="preserve">ℹ Use `spec()` to retrieve the full column specification for this data. ℹ</w:t>
      </w:r>
      <w:r>
        <w:br/>
      </w:r>
      <w:r>
        <w:rPr>
          <w:rStyle w:val="VerbatimChar"/>
        </w:rPr>
        <w:t xml:space="preserve">Specify the column types or set `show_col_types = FALSE` to quiet this message.</w:t>
      </w:r>
      <w:r>
        <w:br/>
      </w:r>
      <w:r>
        <w:rPr>
          <w:rStyle w:val="VerbatimChar"/>
        </w:rPr>
        <w:t xml:space="preserve">• `` -&gt; `...5`</w:t>
      </w:r>
    </w:p>
    <w:p>
      <w:pPr>
        <w:pStyle w:val="SourceCode"/>
      </w:pPr>
      <w:r>
        <w:rPr>
          <w:rStyle w:val="FunctionTok"/>
        </w:rPr>
        <w:t xml:space="preserve">View</w:t>
      </w:r>
      <w:r>
        <w:rPr>
          <w:rStyle w:val="NormalTok"/>
        </w:rPr>
        <w:t xml:space="preserve">(FD)</w:t>
      </w:r>
      <w:r>
        <w:br/>
      </w:r>
      <w:r>
        <w:rPr>
          <w:rStyle w:val="FunctionTok"/>
        </w:rPr>
        <w:t xml:space="preserve">summary</w:t>
      </w:r>
      <w:r>
        <w:rPr>
          <w:rStyle w:val="NormalTok"/>
        </w:rPr>
        <w:t xml:space="preserve">(FD)</w:t>
      </w:r>
    </w:p>
    <w:p>
      <w:pPr>
        <w:pStyle w:val="SourceCode"/>
      </w:pPr>
      <w:r>
        <w:rPr>
          <w:rStyle w:val="VerbatimChar"/>
        </w:rPr>
        <w:t xml:space="preserve"> Feeder_number   Collection_Date    Absence_0_Presence_1 Feeder_Type       </w:t>
      </w:r>
      <w:r>
        <w:br/>
      </w:r>
      <w:r>
        <w:rPr>
          <w:rStyle w:val="VerbatimChar"/>
        </w:rPr>
        <w:t xml:space="preserve"> Min.   : 1.00   Length:144         Min.   :0.0000       Length:144        </w:t>
      </w:r>
      <w:r>
        <w:br/>
      </w:r>
      <w:r>
        <w:rPr>
          <w:rStyle w:val="VerbatimChar"/>
        </w:rPr>
        <w:t xml:space="preserve"> 1st Qu.: 3.75   Class :character   1st Qu.:0.0000       Class :character  </w:t>
      </w:r>
      <w:r>
        <w:br/>
      </w:r>
      <w:r>
        <w:rPr>
          <w:rStyle w:val="VerbatimChar"/>
        </w:rPr>
        <w:t xml:space="preserve"> Median : 6.50   Mode  :character   Median :0.0000       Mode  :character  </w:t>
      </w:r>
      <w:r>
        <w:br/>
      </w:r>
      <w:r>
        <w:rPr>
          <w:rStyle w:val="VerbatimChar"/>
        </w:rPr>
        <w:t xml:space="preserve"> Mean   : 6.50                      Mean   :0.1458                         </w:t>
      </w:r>
      <w:r>
        <w:br/>
      </w:r>
      <w:r>
        <w:rPr>
          <w:rStyle w:val="VerbatimChar"/>
        </w:rPr>
        <w:t xml:space="preserve"> 3rd Qu.: 9.25                      3rd Qu.:0.0000                         </w:t>
      </w:r>
      <w:r>
        <w:br/>
      </w:r>
      <w:r>
        <w:rPr>
          <w:rStyle w:val="VerbatimChar"/>
        </w:rPr>
        <w:t xml:space="preserve"> Max.   :12.00                      Max.   :1.0000                         </w:t>
      </w:r>
      <w:r>
        <w:br/>
      </w:r>
      <w:r>
        <w:rPr>
          <w:rStyle w:val="VerbatimChar"/>
        </w:rPr>
        <w:t xml:space="preserve">   ...5         Absence (0)/Presence (1)</w:t>
      </w:r>
      <w:r>
        <w:br/>
      </w:r>
      <w:r>
        <w:rPr>
          <w:rStyle w:val="VerbatimChar"/>
        </w:rPr>
        <w:t xml:space="preserve"> Mode:logical   Mode:logical            </w:t>
      </w:r>
      <w:r>
        <w:br/>
      </w:r>
      <w:r>
        <w:rPr>
          <w:rStyle w:val="VerbatimChar"/>
        </w:rPr>
        <w:t xml:space="preserve"> NA's:144       NA's:144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9"/>
    <w:bookmarkStart w:id="30" w:name="statistical-analysis"/>
    <w:p>
      <w:pPr>
        <w:pStyle w:val="Heading2"/>
      </w:pPr>
      <w:r>
        <w:t xml:space="preserve">4.3 Statistical analysis</w:t>
      </w:r>
    </w:p>
    <w:p>
      <w:pPr>
        <w:pStyle w:val="FirstParagraph"/>
      </w:pPr>
      <w:r>
        <w:rPr>
          <w:iCs/>
          <w:i/>
        </w:rPr>
        <w:t xml:space="preserve">Explain anything related to your statistical analyses.</w:t>
      </w:r>
    </w:p>
    <w:p>
      <w:r>
        <w:br w:type="page"/>
      </w:r>
    </w:p>
    <w:bookmarkEnd w:id="30"/>
    <w:bookmarkEnd w:id="31"/>
    <w:bookmarkStart w:id="41" w:name="results"/>
    <w:p>
      <w:pPr>
        <w:pStyle w:val="Heading1"/>
      </w:pPr>
      <w:r>
        <w:t xml:space="preserve">5. Results</w:t>
      </w:r>
    </w:p>
    <w:bookmarkStart w:id="33" w:name="exploratorydescriptive-analysis"/>
    <w:p>
      <w:pPr>
        <w:pStyle w:val="Heading2"/>
      </w:pPr>
      <w:r>
        <w:t xml:space="preserve">5.1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2" w:name="tbl-summarytable"/>
    <w:p>
      <w:pPr>
        <w:pStyle w:val="TableCaption"/>
      </w:pPr>
      <w:r>
        <w:t xml:space="preserve">Table 1: Data summary table.</w:t>
      </w:r>
    </w:p>
    <w:tbl>
      <w:tblPr>
        <w:tblStyle w:val="Table"/>
        <w:tblW w:type="pct" w:w="5000"/>
        <w:tblLook w:firstRow="1" w:lastRow="0" w:firstColumn="0" w:lastColumn="0" w:noHBand="0" w:noVBand="0" w:val="0020"/>
        <w:tblCaption w:val="Table 1: Data summary table."/>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factor.ordered</w:t>
            </w:r>
          </w:p>
        </w:tc>
        <w:tc>
          <w:tcPr/>
          <w:p>
            <w:pPr>
              <w:pStyle w:val="Compact"/>
              <w:jc w:val="right"/>
            </w:pPr>
            <w:r>
              <w:t xml:space="preserve">factor.n_unique</w:t>
            </w:r>
          </w:p>
        </w:tc>
        <w:tc>
          <w:tcPr/>
          <w:p>
            <w:pPr>
              <w:pStyle w:val="Compact"/>
              <w:jc w:val="left"/>
            </w:pPr>
            <w:r>
              <w:t xml:space="preserve">factor.top_counts</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factor</w:t>
            </w:r>
          </w:p>
        </w:tc>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M: 4, F: 3, O: 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Height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165.66667</w:t>
            </w:r>
          </w:p>
        </w:tc>
        <w:tc>
          <w:tcPr/>
          <w:p>
            <w:pPr>
              <w:pStyle w:val="Compact"/>
              <w:jc w:val="right"/>
            </w:pPr>
            <w:r>
              <w:t xml:space="preserve">15.97655</w:t>
            </w:r>
          </w:p>
        </w:tc>
        <w:tc>
          <w:tcPr/>
          <w:p>
            <w:pPr>
              <w:pStyle w:val="Compact"/>
              <w:jc w:val="right"/>
            </w:pPr>
            <w:r>
              <w:t xml:space="preserve">133</w:t>
            </w:r>
          </w:p>
        </w:tc>
        <w:tc>
          <w:tcPr/>
          <w:p>
            <w:pPr>
              <w:pStyle w:val="Compact"/>
              <w:jc w:val="right"/>
            </w:pPr>
            <w:r>
              <w:t xml:space="preserve">156</w:t>
            </w:r>
          </w:p>
        </w:tc>
        <w:tc>
          <w:tcPr/>
          <w:p>
            <w:pPr>
              <w:pStyle w:val="Compact"/>
              <w:jc w:val="right"/>
            </w:pPr>
            <w:r>
              <w:t xml:space="preserve">166</w:t>
            </w:r>
          </w:p>
        </w:tc>
        <w:tc>
          <w:tcPr/>
          <w:p>
            <w:pPr>
              <w:pStyle w:val="Compact"/>
              <w:jc w:val="right"/>
            </w:pPr>
            <w:r>
              <w:t xml:space="preserve">178</w:t>
            </w:r>
          </w:p>
        </w:tc>
        <w:tc>
          <w:tcPr/>
          <w:p>
            <w:pPr>
              <w:pStyle w:val="Compact"/>
              <w:jc w:val="right"/>
            </w:pPr>
            <w:r>
              <w:t xml:space="preserve">183</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Weight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70.11111</w:t>
            </w:r>
          </w:p>
        </w:tc>
        <w:tc>
          <w:tcPr/>
          <w:p>
            <w:pPr>
              <w:pStyle w:val="Compact"/>
              <w:jc w:val="right"/>
            </w:pPr>
            <w:r>
              <w:t xml:space="preserve">21.24526</w:t>
            </w:r>
          </w:p>
        </w:tc>
        <w:tc>
          <w:tcPr/>
          <w:p>
            <w:pPr>
              <w:pStyle w:val="Compact"/>
              <w:jc w:val="right"/>
            </w:pPr>
            <w:r>
              <w:t xml:space="preserve">45</w:t>
            </w:r>
          </w:p>
        </w:tc>
        <w:tc>
          <w:tcPr/>
          <w:p>
            <w:pPr>
              <w:pStyle w:val="Compact"/>
              <w:jc w:val="right"/>
            </w:pPr>
            <w:r>
              <w:t xml:space="preserve">55</w:t>
            </w:r>
          </w:p>
        </w:tc>
        <w:tc>
          <w:tcPr/>
          <w:p>
            <w:pPr>
              <w:pStyle w:val="Compact"/>
              <w:jc w:val="right"/>
            </w:pPr>
            <w:r>
              <w:t xml:space="preserve">70</w:t>
            </w:r>
          </w:p>
        </w:tc>
        <w:tc>
          <w:tcPr/>
          <w:p>
            <w:pPr>
              <w:pStyle w:val="Compact"/>
              <w:jc w:val="right"/>
            </w:pPr>
            <w:r>
              <w:t xml:space="preserve">80</w:t>
            </w:r>
          </w:p>
        </w:tc>
        <w:tc>
          <w:tcPr/>
          <w:p>
            <w:pPr>
              <w:pStyle w:val="Compact"/>
              <w:jc w:val="right"/>
            </w:pPr>
            <w:r>
              <w:t xml:space="preserve">110</w:t>
            </w:r>
          </w:p>
        </w:tc>
        <w:tc>
          <w:tcPr/>
          <w:p>
            <w:pPr>
              <w:pStyle w:val="Compact"/>
              <w:jc w:val="left"/>
            </w:pPr>
            <w:r>
              <w:t xml:space="preserve">▇▂▃▂▂</w:t>
            </w:r>
          </w:p>
        </w:tc>
      </w:tr>
    </w:tbl>
    <w:bookmarkEnd w:id="32"/>
    <w:bookmarkEnd w:id="33"/>
    <w:bookmarkStart w:id="38" w:name="basic-statistical-analysis"/>
    <w:p>
      <w:pPr>
        <w:pStyle w:val="Heading2"/>
      </w:pPr>
      <w:r>
        <w:t xml:space="preserve">5.2 Basic statistical analysis</w:t>
      </w:r>
    </w:p>
    <w:p>
      <w:pPr>
        <w:pStyle w:val="FirstParagraph"/>
      </w:pPr>
      <w:r>
        <w:t xml:space="preserve">While I am unsure of proper analysis, I may start by calculating probabilities. It may also be helpful to run a regression or linear model. Other than this, I am unsure of how to start the analysis process for the Picnic Table data.</w:t>
      </w:r>
    </w:p>
    <w:p>
      <w:pPr>
        <w:pStyle w:val="BodyText"/>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7" w:name="fig-result"/>
          <w:p>
            <w:pPr>
              <w:pStyle w:val="Figure"/>
              <w:jc w:val="center"/>
            </w:pPr>
            <w:r>
              <w:drawing>
                <wp:inline>
                  <wp:extent cx="5334000" cy="3807460"/>
                  <wp:effectExtent b="0" l="0" r="0" t="0"/>
                  <wp:docPr descr="" title="" id="35" name="Picture"/>
                  <a:graphic>
                    <a:graphicData uri="http://schemas.openxmlformats.org/drawingml/2006/picture">
                      <pic:pic>
                        <pic:nvPicPr>
                          <pic:cNvPr descr="../../results/height_weight_stratified.png" id="36" name="Picture"/>
                          <pic:cNvPicPr>
                            <a:picLocks noChangeArrowheads="1" noChangeAspect="1"/>
                          </pic:cNvPicPr>
                        </pic:nvPicPr>
                        <pic:blipFill>
                          <a:blip r:embed="rId34"/>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gender.</w:t>
            </w:r>
          </w:p>
          <w:bookmarkEnd w:id="37"/>
        </w:tc>
      </w:tr>
    </w:tbl>
    <w:bookmarkEnd w:id="38"/>
    <w:bookmarkStart w:id="40" w:name="full-analysis"/>
    <w:p>
      <w:pPr>
        <w:pStyle w:val="Heading2"/>
      </w:pPr>
      <w:r>
        <w:t xml:space="preserve">5.3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39"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149.2726967</w:t>
            </w:r>
          </w:p>
        </w:tc>
        <w:tc>
          <w:tcPr/>
          <w:p>
            <w:pPr>
              <w:pStyle w:val="Compact"/>
              <w:jc w:val="right"/>
            </w:pPr>
            <w:r>
              <w:t xml:space="preserve">23.3823360</w:t>
            </w:r>
          </w:p>
        </w:tc>
        <w:tc>
          <w:tcPr/>
          <w:p>
            <w:pPr>
              <w:pStyle w:val="Compact"/>
              <w:jc w:val="right"/>
            </w:pPr>
            <w:r>
              <w:t xml:space="preserve">6.3839942</w:t>
            </w:r>
          </w:p>
        </w:tc>
        <w:tc>
          <w:tcPr/>
          <w:p>
            <w:pPr>
              <w:pStyle w:val="Compact"/>
              <w:jc w:val="right"/>
            </w:pPr>
            <w:r>
              <w:t xml:space="preserve">0.0013962</w:t>
            </w:r>
          </w:p>
        </w:tc>
      </w:tr>
      <w:tr>
        <w:tc>
          <w:tcPr/>
          <w:p>
            <w:pPr>
              <w:pStyle w:val="Compact"/>
              <w:jc w:val="left"/>
            </w:pPr>
            <w:r>
              <w:t xml:space="preserve">Weight</w:t>
            </w:r>
          </w:p>
        </w:tc>
        <w:tc>
          <w:tcPr/>
          <w:p>
            <w:pPr>
              <w:pStyle w:val="Compact"/>
              <w:jc w:val="right"/>
            </w:pPr>
            <w:r>
              <w:t xml:space="preserve">0.2623972</w:t>
            </w:r>
          </w:p>
        </w:tc>
        <w:tc>
          <w:tcPr/>
          <w:p>
            <w:pPr>
              <w:pStyle w:val="Compact"/>
              <w:jc w:val="right"/>
            </w:pPr>
            <w:r>
              <w:t xml:space="preserve">0.3512436</w:t>
            </w:r>
          </w:p>
        </w:tc>
        <w:tc>
          <w:tcPr/>
          <w:p>
            <w:pPr>
              <w:pStyle w:val="Compact"/>
              <w:jc w:val="right"/>
            </w:pPr>
            <w:r>
              <w:t xml:space="preserve">0.7470519</w:t>
            </w:r>
          </w:p>
        </w:tc>
        <w:tc>
          <w:tcPr/>
          <w:p>
            <w:pPr>
              <w:pStyle w:val="Compact"/>
              <w:jc w:val="right"/>
            </w:pPr>
            <w:r>
              <w:t xml:space="preserve">0.4886517</w:t>
            </w:r>
          </w:p>
        </w:tc>
      </w:tr>
      <w:tr>
        <w:tc>
          <w:tcPr/>
          <w:p>
            <w:pPr>
              <w:pStyle w:val="Compact"/>
              <w:jc w:val="left"/>
            </w:pPr>
            <w:r>
              <w:t xml:space="preserve">GenderM</w:t>
            </w:r>
          </w:p>
        </w:tc>
        <w:tc>
          <w:tcPr/>
          <w:p>
            <w:pPr>
              <w:pStyle w:val="Compact"/>
              <w:jc w:val="right"/>
            </w:pPr>
            <w:r>
              <w:t xml:space="preserve">-2.1244913</w:t>
            </w:r>
          </w:p>
        </w:tc>
        <w:tc>
          <w:tcPr/>
          <w:p>
            <w:pPr>
              <w:pStyle w:val="Compact"/>
              <w:jc w:val="right"/>
            </w:pPr>
            <w:r>
              <w:t xml:space="preserve">15.5488953</w:t>
            </w:r>
          </w:p>
        </w:tc>
        <w:tc>
          <w:tcPr/>
          <w:p>
            <w:pPr>
              <w:pStyle w:val="Compact"/>
              <w:jc w:val="right"/>
            </w:pPr>
            <w:r>
              <w:t xml:space="preserve">-0.1366329</w:t>
            </w:r>
          </w:p>
        </w:tc>
        <w:tc>
          <w:tcPr/>
          <w:p>
            <w:pPr>
              <w:pStyle w:val="Compact"/>
              <w:jc w:val="right"/>
            </w:pPr>
            <w:r>
              <w:t xml:space="preserve">0.8966520</w:t>
            </w:r>
          </w:p>
        </w:tc>
      </w:tr>
      <w:tr>
        <w:tc>
          <w:tcPr/>
          <w:p>
            <w:pPr>
              <w:pStyle w:val="Compact"/>
              <w:jc w:val="left"/>
            </w:pPr>
            <w:r>
              <w:t xml:space="preserve">GenderO</w:t>
            </w:r>
          </w:p>
        </w:tc>
        <w:tc>
          <w:tcPr/>
          <w:p>
            <w:pPr>
              <w:pStyle w:val="Compact"/>
              <w:jc w:val="right"/>
            </w:pPr>
            <w:r>
              <w:t xml:space="preserve">-4.7644739</w:t>
            </w:r>
          </w:p>
        </w:tc>
        <w:tc>
          <w:tcPr/>
          <w:p>
            <w:pPr>
              <w:pStyle w:val="Compact"/>
              <w:jc w:val="right"/>
            </w:pPr>
            <w:r>
              <w:t xml:space="preserve">19.0114155</w:t>
            </w:r>
          </w:p>
        </w:tc>
        <w:tc>
          <w:tcPr/>
          <w:p>
            <w:pPr>
              <w:pStyle w:val="Compact"/>
              <w:jc w:val="right"/>
            </w:pPr>
            <w:r>
              <w:t xml:space="preserve">-0.2506112</w:t>
            </w:r>
          </w:p>
        </w:tc>
        <w:tc>
          <w:tcPr/>
          <w:p>
            <w:pPr>
              <w:pStyle w:val="Compact"/>
              <w:jc w:val="right"/>
            </w:pPr>
            <w:r>
              <w:t xml:space="preserve">0.8120871</w:t>
            </w:r>
          </w:p>
        </w:tc>
      </w:tr>
    </w:tbl>
    <w:bookmarkEnd w:id="39"/>
    <w:p>
      <w:r>
        <w:br w:type="page"/>
      </w:r>
    </w:p>
    <w:bookmarkEnd w:id="40"/>
    <w:bookmarkEnd w:id="41"/>
    <w:bookmarkStart w:id="46" w:name="discussion"/>
    <w:p>
      <w:pPr>
        <w:pStyle w:val="Heading1"/>
      </w:pPr>
      <w:r>
        <w:t xml:space="preserve">6. Discussion</w:t>
      </w:r>
    </w:p>
    <w:bookmarkStart w:id="42" w:name="summary-and-interpretation"/>
    <w:p>
      <w:pPr>
        <w:pStyle w:val="Heading2"/>
      </w:pPr>
      <w:r>
        <w:t xml:space="preserve">6.1 Summary and Interpretation</w:t>
      </w:r>
    </w:p>
    <w:p>
      <w:pPr>
        <w:pStyle w:val="FirstParagraph"/>
      </w:pPr>
      <w:r>
        <w:rPr>
          <w:iCs/>
          <w:i/>
        </w:rPr>
        <w:t xml:space="preserve">Summarize what you did, what you found and what it means.</w:t>
      </w:r>
    </w:p>
    <w:bookmarkEnd w:id="42"/>
    <w:bookmarkStart w:id="43" w:name="strengths-and-limitations"/>
    <w:p>
      <w:pPr>
        <w:pStyle w:val="Heading2"/>
      </w:pPr>
      <w:r>
        <w:t xml:space="preserve">6.2 Strengths and Limitations</w:t>
      </w:r>
    </w:p>
    <w:p>
      <w:pPr>
        <w:pStyle w:val="FirstParagraph"/>
      </w:pPr>
      <w:r>
        <w:rPr>
          <w:iCs/>
          <w:i/>
        </w:rPr>
        <w:t xml:space="preserve">Discuss what you perceive as strengths and limitations of your analysis.</w:t>
      </w:r>
    </w:p>
    <w:bookmarkEnd w:id="43"/>
    <w:bookmarkStart w:id="45" w:name="conclusions"/>
    <w:p>
      <w:pPr>
        <w:pStyle w:val="Heading2"/>
      </w:pPr>
      <w:r>
        <w:t xml:space="preserve">6.3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5"/>
    <w:bookmarkEnd w:id="46"/>
    <w:bookmarkStart w:id="54" w:name="references"/>
    <w:p>
      <w:pPr>
        <w:pStyle w:val="Heading1"/>
      </w:pPr>
      <w:r>
        <w:t xml:space="preserve">7. References</w:t>
      </w:r>
    </w:p>
    <w:bookmarkStart w:id="53" w:name="refs"/>
    <w:bookmarkStart w:id="48"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7">
        <w:r>
          <w:rPr>
            <w:rStyle w:val="Hyperlink"/>
          </w:rPr>
          <w:t xml:space="preserve">https://doi.org/10.1126/science.aaa6146</w:t>
        </w:r>
      </w:hyperlink>
    </w:p>
    <w:bookmarkEnd w:id="48"/>
    <w:bookmarkStart w:id="50"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9">
        <w:r>
          <w:rPr>
            <w:rStyle w:val="Hyperlink"/>
          </w:rPr>
          <w:t xml:space="preserve">https://doi.org/10.1093/ofid/ofaa494</w:t>
        </w:r>
      </w:hyperlink>
    </w:p>
    <w:bookmarkEnd w:id="50"/>
    <w:bookmarkStart w:id="52"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1">
        <w:r>
          <w:rPr>
            <w:rStyle w:val="Hyperlink"/>
          </w:rPr>
          <w:t xml:space="preserve">https://doi.org/10.1098/rspb.2020.0496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49" Target="https://doi.org/10.1093/ofid/ofaa494" TargetMode="External" /><Relationship Type="http://schemas.openxmlformats.org/officeDocument/2006/relationships/hyperlink" Id="rId51" Target="https://doi.org/10.1098/rspb.2020.0496" TargetMode="External" /><Relationship Type="http://schemas.openxmlformats.org/officeDocument/2006/relationships/hyperlink" Id="rId47"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93/ofid/ofaa494" TargetMode="External" /><Relationship Type="http://schemas.openxmlformats.org/officeDocument/2006/relationships/hyperlink" Id="rId51" Target="https://doi.org/10.1098/rspb.2020.0496" TargetMode="External" /><Relationship Type="http://schemas.openxmlformats.org/officeDocument/2006/relationships/hyperlink" Id="rId47"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2023-02-10T03:03:39Z</dcterms:created>
  <dcterms:modified xsi:type="dcterms:W3CDTF">2023-02-10T03:03:39Z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2/9/23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