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EACDA">
      <w:pPr>
        <w:numPr>
          <w:ilvl w:val="0"/>
          <w:numId w:val="0"/>
        </w:numPr>
        <w:ind w:leftChars="0"/>
        <w:rPr>
          <w:rFonts w:hint="eastAsia" w:eastAsiaTheme="minor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核心风险条款汇总与提示</w:t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 xml:space="preserve">  </w:t>
      </w:r>
    </w:p>
    <w:p w14:paraId="4D5F7C00">
      <w:pPr>
        <w:numPr>
          <w:ilvl w:val="0"/>
          <w:numId w:val="0"/>
        </w:numPr>
        <w:ind w:leftChars="0"/>
        <w:rPr>
          <w:rFonts w:hint="eastAsia"/>
        </w:rPr>
      </w:pPr>
    </w:p>
    <w:p w14:paraId="77135A64">
      <w:pPr>
        <w:numPr>
          <w:ilvl w:val="0"/>
          <w:numId w:val="0"/>
        </w:numPr>
        <w:ind w:leftChars="0"/>
        <w:rPr>
          <w:rFonts w:hint="eastAsia"/>
        </w:rPr>
      </w:pPr>
    </w:p>
    <w:p w14:paraId="49A7EB3C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</w:rPr>
        <w:t>1. 第一条 房屋基本情况</w:t>
      </w:r>
      <w:r>
        <w:rPr>
          <w:rFonts w:hint="eastAsia"/>
          <w:lang w:eastAsia="zh-CN"/>
        </w:rPr>
        <w:t xml:space="preserve">  </w:t>
      </w:r>
    </w:p>
    <w:p w14:paraId="1AF9407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风险点：若甲方非房屋产权人（如二房东），则其是否有权转租至关重要。若无权转租，真实房东有权解除合同，导致您无家可归。</w:t>
      </w:r>
    </w:p>
    <w:p w14:paraId="0087D5E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应对：要求甲方出示房产证原件/复印件及身份证件，并核对一致。如为转租，要求出示其与房东的租赁合同及房东同意转租的书面证明。</w:t>
      </w:r>
    </w:p>
    <w:p w14:paraId="5FF671CC">
      <w:pPr>
        <w:numPr>
          <w:ilvl w:val="0"/>
          <w:numId w:val="0"/>
        </w:numPr>
        <w:ind w:leftChars="0"/>
        <w:rPr>
          <w:rFonts w:hint="eastAsia"/>
        </w:rPr>
      </w:pPr>
    </w:p>
    <w:p w14:paraId="6D217E67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</w:rPr>
        <w:t>2. 第四条 房屋租赁保证金（押金）</w:t>
      </w:r>
      <w:r>
        <w:rPr>
          <w:rFonts w:hint="eastAsia"/>
          <w:lang w:eastAsia="zh-CN"/>
        </w:rPr>
        <w:t xml:space="preserve">  </w:t>
      </w:r>
    </w:p>
    <w:p w14:paraId="0356377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风险点：条款中“乙方应承担的违约赔偿责任”定义模糊，可能成为房东随意扣减押金的借口。</w:t>
      </w:r>
    </w:p>
    <w:p w14:paraId="52B8C25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应对：在合同第十二条“其他约定事项”中明确押金扣除的具体情形和标准（例如：“仅当乙方损坏家具且未修复、或欠缴水电费时，方可扣除相应费用，且需提供费用单据”）。</w:t>
      </w:r>
    </w:p>
    <w:p w14:paraId="5320F4A4">
      <w:pPr>
        <w:numPr>
          <w:ilvl w:val="0"/>
          <w:numId w:val="0"/>
        </w:numPr>
        <w:ind w:leftChars="0"/>
        <w:rPr>
          <w:rFonts w:hint="eastAsia"/>
        </w:rPr>
      </w:pPr>
    </w:p>
    <w:p w14:paraId="330DFD70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</w:rPr>
        <w:t>3.第五条 其他费用</w:t>
      </w:r>
      <w:r>
        <w:rPr>
          <w:rFonts w:hint="eastAsia"/>
          <w:lang w:eastAsia="zh-CN"/>
        </w:rPr>
        <w:t xml:space="preserve">  </w:t>
      </w:r>
    </w:p>
    <w:p w14:paraId="1E307ED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风险点：若费用项目未勾选或填写不清，易产生纠纷。例如，北方冬季取暖费是一笔不小开支，必须明确。</w:t>
      </w:r>
    </w:p>
    <w:p w14:paraId="077B635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应对：逐项核对勾选，在空白处填写完整，避免遗漏。务必在入住前抄录水、电、燃气表读数，并与房东共同确认。</w:t>
      </w:r>
    </w:p>
    <w:p w14:paraId="28651482">
      <w:pPr>
        <w:numPr>
          <w:ilvl w:val="0"/>
          <w:numId w:val="0"/>
        </w:numPr>
        <w:ind w:leftChars="0"/>
        <w:rPr>
          <w:rFonts w:hint="eastAsia"/>
        </w:rPr>
      </w:pPr>
    </w:p>
    <w:p w14:paraId="0B9C72A1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第七条 房屋及附属设施的维护</w:t>
      </w:r>
      <w:r>
        <w:rPr>
          <w:rFonts w:hint="eastAsia"/>
          <w:lang w:eastAsia="zh-CN"/>
        </w:rPr>
        <w:t xml:space="preserve">  </w:t>
      </w:r>
    </w:p>
    <w:p w14:paraId="7FBB487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风险点：甲方维修时限（“________ 日内”）若为空白，当家电（如空调、热水器）损坏时，房东可能拖延维修，影响居住。</w:t>
      </w:r>
    </w:p>
    <w:p w14:paraId="4730B29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应对：明确约定维修响应时间，如“甲方接到通知后48小时内上门维修”。同时，在附件中列明主要家电家具清单及完好状态。</w:t>
      </w:r>
    </w:p>
    <w:p w14:paraId="0415455E">
      <w:pPr>
        <w:numPr>
          <w:ilvl w:val="0"/>
          <w:numId w:val="0"/>
        </w:numPr>
        <w:ind w:leftChars="0"/>
        <w:rPr>
          <w:rFonts w:hint="eastAsia"/>
        </w:rPr>
      </w:pPr>
    </w:p>
    <w:p w14:paraId="1419ED45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</w:rPr>
        <w:t>5.第八条 转租</w:t>
      </w:r>
      <w:r>
        <w:rPr>
          <w:rFonts w:hint="eastAsia"/>
          <w:lang w:eastAsia="zh-CN"/>
        </w:rPr>
        <w:t xml:space="preserve">  </w:t>
      </w:r>
    </w:p>
    <w:p w14:paraId="260CA0D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风险点：若您有转租可能但本条款勾选“不允许”，则您将完全失去提前解约的灵活性。</w:t>
      </w:r>
    </w:p>
    <w:p w14:paraId="478B447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应对：根据自身情况慎重选择。即使目前无计划，也可协商勾选“允许”，或约定“经甲方书面同意后，可以转租”。</w:t>
      </w:r>
    </w:p>
    <w:p w14:paraId="5ED719F7">
      <w:pPr>
        <w:numPr>
          <w:ilvl w:val="0"/>
          <w:numId w:val="0"/>
        </w:numPr>
        <w:ind w:leftChars="0"/>
        <w:rPr>
          <w:rFonts w:hint="eastAsia"/>
        </w:rPr>
      </w:pPr>
    </w:p>
    <w:p w14:paraId="22C0BFEF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</w:rPr>
        <w:t>6.第十条 违约责任</w:t>
      </w:r>
      <w:r>
        <w:rPr>
          <w:rFonts w:hint="eastAsia"/>
          <w:lang w:eastAsia="zh-CN"/>
        </w:rPr>
        <w:t xml:space="preserve">  </w:t>
      </w:r>
    </w:p>
    <w:p w14:paraId="5CECE7E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风险点：违约金比例空白或过高。房东提前收房与租客提前退租的违约金不对等，可能显失公平。</w:t>
      </w:r>
    </w:p>
    <w:p w14:paraId="01D4D4E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应对：协商一个公平合理的违约金数额，通常建议约定为1-2个月租金。务必在空白处填写明确金额，避免日后争议。</w:t>
      </w:r>
    </w:p>
    <w:p w14:paraId="05EDFC0F">
      <w:pPr>
        <w:numPr>
          <w:ilvl w:val="0"/>
          <w:numId w:val="0"/>
        </w:numPr>
        <w:ind w:leftChars="0"/>
        <w:rPr>
          <w:rFonts w:hint="eastAsia"/>
        </w:rPr>
      </w:pPr>
    </w:p>
    <w:p w14:paraId="663452B3">
      <w:pPr>
        <w:numPr>
          <w:ilvl w:val="0"/>
          <w:numId w:val="0"/>
        </w:numPr>
        <w:ind w:leftChars="0"/>
        <w:rPr>
          <w:rFonts w:hint="eastAsia"/>
        </w:rPr>
      </w:pPr>
    </w:p>
    <w:p w14:paraId="2811F6CA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温馨提示：本文旨在进行通用性法律知识科普，不构成正式的法律意见。在遇到具体法律问题时，建议咨询专业律师。</w:t>
      </w:r>
    </w:p>
    <w:p w14:paraId="551E38E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2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2026-01-30T04:54:50Z</dcterms:created>
  <dc:creator>卢泓桦</dc:creator>
  <cp:lastModifiedBy>Lars</cp:lastModifiedBy>
  <dcterms:modified xsi:type="dcterms:W3CDTF">2026-01-30T04:54:54Z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eyJoZGlkIjoiMzEwNTM5NzYwMDRjMzkwZTVkZjY2ODkwMGIxNGU0OTUiLCJ1c2VySWQiOiI3MjQ3OTMyOTgifQ==</vt:lpwstr>
  </property>
  <property fmtid="{D5CDD505-2E9C-101B-9397-08002B2CF9AE}" pid="4" name="ICV">
    <vt:lpwstr>18EED9C3ADEF4938AB709B76475CDA0B_12</vt:lpwstr>
  </property>
</Properties>
</file>