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北京市平谷区冬小麦-夏玉米轮作体系</w:t>
        <w:br/>
        <w:t>环境指纹×机器学习育种模型</w:t>
      </w:r>
    </w:p>
    <w:p>
      <w:pPr>
        <w:jc w:val="center"/>
      </w:pPr>
      <w:r>
        <w:rPr>
          <w:color w:val="646464"/>
          <w:sz w:val="24"/>
        </w:rPr>
        <w:t>前期研究纲要 — 供导师审阅与coworker入组参考</w:t>
      </w:r>
    </w:p>
    <w:p>
      <w:pPr>
        <w:spacing w:after="360"/>
        <w:jc w:val="center"/>
      </w:pPr>
      <w:r>
        <w:rPr>
          <w:color w:val="828282"/>
          <w:sz w:val="22"/>
        </w:rPr>
        <w:t>彭宇程  2026年7月28日</w:t>
      </w:r>
    </w:p>
    <w:p>
      <w:pPr>
        <w:spacing w:before="360" w:after="160"/>
        <w:pBdr>
          <w:bottom w:val="single" w:sz="4" w:space="4" w:color="333333"/>
        </w:pBdr>
      </w:pPr>
      <w:r>
        <w:rPr>
          <w:rFonts w:ascii="黑体" w:hAnsi="黑体" w:eastAsia="黑体"/>
          <w:b/>
          <w:sz w:val="32"/>
        </w:rPr>
        <w:t>一、项目概述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本项目构建了一套机器学习框架，将环境指纹（涵盖气候、土壤、地形的全维度栅格变量）与多品种作物性状和管理情景相结合，实现产量预测与农艺措施优化。研究区域为北京市平谷区（234个1 km网格），作物体系为冬小麦-夏玉米一年两熟轮作。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核心创新在于从传统单点或单因子分析迈向空间显式、多维度的研究范式：环境指纹捕获每个网格的全谱生物物理条件，机器学习模型（XGBoost、随机森林、分位数随机森林）解析复杂的基因型×环境×管理（G×E×M）互作效应。模型解释借助SHAP值（Shapley加法解释）配合Bootstrap置信区间，同时提供机制洞察与不确定性量化。</w:t>
      </w:r>
    </w:p>
    <w:p>
      <w:pPr>
        <w:spacing w:before="360" w:after="160"/>
        <w:pBdr>
          <w:bottom w:val="single" w:sz="4" w:space="4" w:color="333333"/>
        </w:pBdr>
      </w:pPr>
      <w:r>
        <w:rPr>
          <w:rFonts w:ascii="黑体" w:hAnsi="黑体" w:eastAsia="黑体"/>
          <w:b/>
          <w:sz w:val="32"/>
        </w:rPr>
        <w:t>二、研究背景与知识缺口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作物产量预测长期依赖过程模型（如APSIM、DSSAT），这些模型参数化工作量大，且区域外推能力有限。机器学习提供了新路径：数据驱动的模型无需显式的生理方程即可捕获非线性G×E×M关系。但当前研究存在三个关键缺口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sz w:val="24"/>
        </w:rPr>
        <w:t>环境表征不足：多数ML产量研究仅使用少数气候变量（如生长季均值温度、降水），丢失了极端事件、季节性信息和土壤约束信号。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sz w:val="24"/>
        </w:rPr>
        <w:t>不确定性量化缺失：文献以点预测为主，鲜有报道预测区间与空间不确定性分布图。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sz w:val="24"/>
        </w:rPr>
        <w:t>环境约束下的管理优化空白：现有优化研究（如Xiao et al. 2024, Nature Food）使用区域聚合数据，尚未探索网格级、耦合环境指纹的多目标优化。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本研究同时针对以上三个缺口展开。</w:t>
      </w:r>
    </w:p>
    <w:p>
      <w:pPr>
        <w:spacing w:before="360" w:after="160"/>
        <w:pBdr>
          <w:bottom w:val="single" w:sz="4" w:space="4" w:color="333333"/>
        </w:pBdr>
      </w:pPr>
      <w:r>
        <w:rPr>
          <w:rFonts w:ascii="黑体" w:hAnsi="黑体" w:eastAsia="黑体"/>
          <w:b/>
          <w:sz w:val="32"/>
        </w:rPr>
        <w:t>三、研究区域与轮作体系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536"/>
        <w:gridCol w:w="4536"/>
      </w:tblGrid>
      <w:tr>
        <w:tc>
          <w:tcPr>
            <w:tcW w:type="dxa" w:w="4536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4536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研究区域</w:t>
            </w:r>
          </w:p>
        </w:tc>
        <w:tc>
          <w:tcPr>
            <w:tcW w:type="dxa" w:w="4536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北京市平谷区（117.1°E, 40.1°N）</w:t>
            </w:r>
          </w:p>
        </w:tc>
      </w:tr>
      <w:tr>
        <w:tc>
          <w:tcPr>
            <w:tcW w:type="dxa" w:w="4536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网格分辨率</w:t>
            </w:r>
          </w:p>
        </w:tc>
        <w:tc>
          <w:tcPr>
            <w:tcW w:type="dxa" w:w="4536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 km × 1 km，共234个网格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轮作体系</w:t>
            </w:r>
          </w:p>
        </w:tc>
        <w:tc>
          <w:tcPr>
            <w:tcW w:type="dxa" w:w="4536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冬小麦（10月-次年6月）-夏玉米（6月-10月）一年两熟</w:t>
            </w:r>
          </w:p>
        </w:tc>
      </w:tr>
      <w:tr>
        <w:tc>
          <w:tcPr>
            <w:tcW w:type="dxa" w:w="4536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气候特征</w:t>
            </w:r>
          </w:p>
        </w:tc>
        <w:tc>
          <w:tcPr>
            <w:tcW w:type="dxa" w:w="4536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暖温带季风气候；年均温11-12°C；年降水600-650 mm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冬小麦品种</w:t>
            </w:r>
          </w:p>
        </w:tc>
        <w:tc>
          <w:tcPr>
            <w:tcW w:type="dxa" w:w="4536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8个品种（京冬8号/12号/17号/22号，中麦175/1062，轮选987/169）</w:t>
            </w:r>
          </w:p>
        </w:tc>
      </w:tr>
      <w:tr>
        <w:tc>
          <w:tcPr>
            <w:tcW w:type="dxa" w:w="4536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夏玉米品种</w:t>
            </w:r>
          </w:p>
        </w:tc>
        <w:tc>
          <w:tcPr>
            <w:tcW w:type="dxa" w:w="4536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8个品种（文献和审定公告已提取）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管理数据</w:t>
            </w:r>
          </w:p>
        </w:tc>
        <w:tc>
          <w:tcPr>
            <w:tcW w:type="dxa" w:w="4536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自主设计14情景 + Xiao et al.(2024) 公开数据集（CC BY 4.0）</w:t>
            </w:r>
          </w:p>
        </w:tc>
      </w:tr>
    </w:tbl>
    <w:p/>
    <w:p>
      <w:pPr>
        <w:spacing w:before="360" w:after="160"/>
        <w:pBdr>
          <w:bottom w:val="single" w:sz="4" w:space="4" w:color="333333"/>
        </w:pBdr>
      </w:pPr>
      <w:r>
        <w:rPr>
          <w:rFonts w:ascii="黑体" w:hAnsi="黑体" w:eastAsia="黑体"/>
          <w:b/>
          <w:sz w:val="32"/>
        </w:rPr>
        <w:t>四、数据清单</w:t>
      </w:r>
    </w:p>
    <w:p>
      <w:pPr>
        <w:spacing w:before="240" w:after="80"/>
      </w:pPr>
      <w:r>
        <w:rPr>
          <w:rFonts w:ascii="黑体" w:hAnsi="黑体" w:eastAsia="黑体"/>
          <w:b/>
          <w:sz w:val="26"/>
        </w:rPr>
        <w:t>4.1 环境指纹矩阵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核心数据为234×73矩阵（Outputs/pinggu_environmental_data.csv），每行代表1个1 km网格，每列代表1个环境变量。数据缺失率0.3%（仅地形衍生变量3列边缘网格），可建模变量71/73（97%）。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1814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数据源</w:t>
            </w:r>
          </w:p>
        </w:tc>
        <w:tc>
          <w:tcPr>
            <w:tcW w:type="dxa" w:w="1814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变量数</w:t>
            </w:r>
          </w:p>
        </w:tc>
        <w:tc>
          <w:tcPr>
            <w:tcW w:type="dxa" w:w="1814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分辨率</w:t>
            </w:r>
          </w:p>
        </w:tc>
        <w:tc>
          <w:tcPr>
            <w:tcW w:type="dxa" w:w="1814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生物气候变量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WorldClim 2.1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19（bio1-bio19）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2.5 arc-min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已就绪</w:t>
            </w:r>
          </w:p>
        </w:tc>
      </w:tr>
      <w:tr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逐月平均温度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WorldClim 2.1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12（tavg 01-12）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2.5 arc-min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已就绪</w:t>
            </w:r>
          </w:p>
        </w:tc>
      </w:tr>
      <w:tr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逐月降水量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WorldClim 2.1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12（prec 01-12）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2.5 arc-min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已就绪</w:t>
            </w:r>
          </w:p>
        </w:tc>
      </w:tr>
      <w:tr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土壤属性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SoilGrids 2.0 (ISRIC)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8（砂/粉/黏/有机碳/全氮/pH/容重/阳离子交换量，0-5cm）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250 m→5 km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已就绪</w:t>
            </w:r>
          </w:p>
        </w:tc>
      </w:tr>
      <w:tr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地形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SRTM 90m (CGIAR-CSI)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3（海拔、坡度、坡向）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90 m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已就绪</w:t>
            </w:r>
          </w:p>
        </w:tc>
      </w:tr>
      <w:tr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生长度日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派生计算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6（GDD0/5/10/15/20/25）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 km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从tavg重新生成</w:t>
            </w:r>
          </w:p>
        </w:tc>
      </w:tr>
      <w:tr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土壤水分常数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派生计算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3（SAT、DUL、LL15）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 km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从SoilGrids重新生成</w:t>
            </w:r>
          </w:p>
        </w:tc>
      </w:tr>
      <w:tr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品种性状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文献+审定公告提取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8小麦×8性状；8玉米×9性状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品种级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已就绪</w:t>
            </w:r>
          </w:p>
        </w:tc>
      </w:tr>
      <w:tr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管理情景（自主）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自主设计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14情景（N×灌溉×密度）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网格级</w:t>
            </w:r>
          </w:p>
        </w:tc>
        <w:tc>
          <w:tcPr>
            <w:tcW w:type="dxa" w:w="1814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已就绪</w:t>
            </w:r>
          </w:p>
        </w:tc>
      </w:tr>
      <w:tr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管理数据（外部）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Xiao et al.(2024) Figshare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4文件（施氮、灌溉、产量；基准期+SSP情景）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 km</w:t>
            </w:r>
          </w:p>
        </w:tc>
        <w:tc>
          <w:tcPr>
            <w:tcW w:type="dxa" w:w="1814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已就绪（CC BY 4.0）</w:t>
            </w:r>
          </w:p>
        </w:tc>
      </w:tr>
    </w:tbl>
    <w:p/>
    <w:p>
      <w:pPr>
        <w:spacing w:before="240" w:after="80"/>
      </w:pPr>
      <w:r>
        <w:rPr>
          <w:rFonts w:ascii="黑体" w:hAnsi="黑体" w:eastAsia="黑体"/>
          <w:b/>
          <w:sz w:val="26"/>
        </w:rPr>
        <w:t>4.2 管理数据：互补双来源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来源一（自主设计）：14个管理情景，组合施氮量（0/150/300 kg ha⁻¹）、灌水量（0/200/400 mm）和播期密度变化，通过management_grid_default.csv应用于全部234网格。设计参考Chen et al.(2014) Nature及Bai et al.(2024) Nature Food 5:148-159。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来源二（公开数据）：Xiao et al.(2024)"Spatiotemporal co-optimization of agricultural management practices"（Nature Food 5:59-71）。数据集从Figshare下载（DOI: 10.6084/m9.figshare.24471919.v5，CC BY 4.0许可）。包含小麦和玉米的优化施氮量、灌溉量和产量图，覆盖三个时段（基准期、2030s、2060s），分SSP2-4.5和SSP5-8.5两种情景。已下载4个关键文件（共61 MB）；主数据文件Allregions.rds（57.3 MB）需用R语言转CSV。</w:t>
      </w:r>
    </w:p>
    <w:p>
      <w:pPr>
        <w:spacing w:before="360" w:after="160"/>
        <w:pBdr>
          <w:bottom w:val="single" w:sz="4" w:space="4" w:color="333333"/>
        </w:pBdr>
      </w:pPr>
      <w:r>
        <w:rPr>
          <w:rFonts w:ascii="黑体" w:hAnsi="黑体" w:eastAsia="黑体"/>
          <w:b/>
          <w:sz w:val="32"/>
        </w:rPr>
        <w:t>五、分析方法管线</w:t>
      </w:r>
    </w:p>
    <w:p>
      <w:pPr>
        <w:spacing w:before="240" w:after="80"/>
      </w:pPr>
      <w:r>
        <w:rPr>
          <w:rFonts w:ascii="黑体" w:hAnsi="黑体" w:eastAsia="黑体"/>
          <w:b/>
          <w:sz w:val="26"/>
        </w:rPr>
        <w:t>5.1 特征工程（R1阶段 + S1审计）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73变量环境指纹矩阵将按五步流程进行系统特征工程：（1）数据清洗（异常值处理、缺失值填补）；（2）特征构建（交互项、植被指数等）；（3）维度评估（PCA、方差膨胀因子）；（4）特征筛选（Boruta、基于SHAP的递归特征消除）；（5）敏感性分析（单变量扰动）。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特征审计员S1使用替代方法（如互信息法对照Boruta）独立验证R1输出，发现差异提交讨论后再进入建模阶段。</w:t>
      </w:r>
    </w:p>
    <w:p>
      <w:pPr>
        <w:spacing w:before="240" w:after="80"/>
      </w:pPr>
      <w:r>
        <w:rPr>
          <w:rFonts w:ascii="黑体" w:hAnsi="黑体" w:eastAsia="黑体"/>
          <w:b/>
          <w:sz w:val="26"/>
        </w:rPr>
        <w:t>5.2 建模（R2阶段 + S2审计）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建模管线遵循渐进复杂度策略：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2268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2268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目的</w:t>
            </w:r>
          </w:p>
        </w:tc>
        <w:tc>
          <w:tcPr>
            <w:tcW w:type="dxa" w:w="2268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预期产出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 基线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多元线性回归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建立性能下限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R²、RMSE基线值</w:t>
            </w:r>
          </w:p>
        </w:tc>
      </w:tr>
      <w:tr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2 集成树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随机森林（Breiman 2001）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稳健非线性基线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特征重要性排序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3 梯度提升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XGBoost（Chen &amp; Guestrin 2016）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结构化数据最优模型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Optuna优化后的最佳参数</w:t>
            </w:r>
          </w:p>
        </w:tc>
      </w:tr>
      <w:tr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4 超参调优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Optuna（Akiba et al. 2019）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贝叶斯优化XGBoost参数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最优试验+参数空间分布图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5 不确定性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分位数随机森林（Meinshausen 2006）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每网格90%预测区间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空间不确定性分布图</w:t>
            </w:r>
          </w:p>
        </w:tc>
      </w:tr>
      <w:tr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6 多目标优化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NSGA-II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产量-施氮量Pareto前沿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最优管理组合方案</w:t>
            </w:r>
          </w:p>
        </w:tc>
      </w:tr>
    </w:tbl>
    <w:p/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模型验证采用空间交叉验证（分块k-fold, k=5-10），防止空间自相关虚增性能评估。审计员S2通过置换检验、残差空间自相关分析（Moran's I）和超参扰动敏感性检验独立验证模型稳健性。</w:t>
      </w:r>
    </w:p>
    <w:p>
      <w:pPr>
        <w:spacing w:before="240" w:after="80"/>
      </w:pPr>
      <w:r>
        <w:rPr>
          <w:rFonts w:ascii="黑体" w:hAnsi="黑体" w:eastAsia="黑体"/>
          <w:b/>
          <w:sz w:val="26"/>
        </w:rPr>
        <w:t>5.3 模型解释（R3阶段）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SHAP值（Lundberg &amp; Lee 2017）将每个预测分解为各特征的加性贡献。核心分析包括：（1）全局特征重要性排序及Bootstrap 95%置信区间；（2）前8-10位特征的SHAP依赖图；（3）SHAP交互值检测非加性G×E效应；（4）SHAP值空间映射，识别各环境因子在何处主导产量限制；（5）构建环境效应相似性指数（EESI），为品种布局推荐提供依据。</w:t>
      </w:r>
    </w:p>
    <w:p>
      <w:pPr>
        <w:spacing w:before="240" w:after="80"/>
      </w:pPr>
      <w:r>
        <w:rPr>
          <w:rFonts w:ascii="黑体" w:hAnsi="黑体" w:eastAsia="黑体"/>
          <w:b/>
          <w:sz w:val="26"/>
        </w:rPr>
        <w:t>5.4 因果推断（可选扩展）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若时间允许，将PCMCI算法（Runge et al. 2019）应用于环境指纹时间序列，区分直接因果驱动与间接相关关系，增强SHAP结果的机制解释力。</w:t>
      </w:r>
    </w:p>
    <w:p>
      <w:pPr>
        <w:spacing w:before="360" w:after="160"/>
        <w:pBdr>
          <w:bottom w:val="single" w:sz="4" w:space="4" w:color="333333"/>
        </w:pBdr>
      </w:pPr>
      <w:r>
        <w:rPr>
          <w:rFonts w:ascii="黑体" w:hAnsi="黑体" w:eastAsia="黑体"/>
          <w:b/>
          <w:sz w:val="32"/>
        </w:rPr>
        <w:t>六、创新点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2268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创新点</w:t>
            </w:r>
          </w:p>
        </w:tc>
        <w:tc>
          <w:tcPr>
            <w:tcW w:type="dxa" w:w="2268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新颖性</w:t>
            </w:r>
          </w:p>
        </w:tc>
        <w:tc>
          <w:tcPr>
            <w:tcW w:type="dxa" w:w="2268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可行性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 必做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动态环境指纹：73变量全维度网格化表征替代传统少数气候变量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华北平原1 km分辨率全谱环境指纹的首次应用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数据已编译完成</w:t>
            </w:r>
          </w:p>
        </w:tc>
      </w:tr>
      <w:tr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P0 必做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空间CV+不确定性：分块k-fold交叉验证+QRF预测区间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针对性解决农业ML中普遍的空间自相关虚增问题，提供逐网格置信度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scikit-learn已有现成工具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P1 强推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SHAP交互值G×E×M分解+Bootstrap置信区间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将SHAP从点估计推向统计推断，结果农学家可直接解读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Python shap库/R shapr包支持</w:t>
            </w:r>
          </w:p>
        </w:tc>
      </w:tr>
      <w:tr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P1 强推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环境效应相似性指数（EESI）：品种推荐分区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将黑箱模型输出转化为可操作的农艺决策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概念可行，待实现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P2 可选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PCMCI因果结构学习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量化环境因子的直接vs间接效应，农业ML中罕见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算法已公开，取决于时间</w:t>
            </w:r>
          </w:p>
        </w:tc>
      </w:tr>
      <w:tr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P2 可选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NSGA-II多目标优化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网格级管理方案组合，平衡产量与氮投入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pymoo/deap库支持</w:t>
            </w:r>
          </w:p>
        </w:tc>
      </w:tr>
    </w:tbl>
    <w:p/>
    <w:p>
      <w:pPr>
        <w:spacing w:before="360" w:after="160"/>
        <w:pBdr>
          <w:bottom w:val="single" w:sz="4" w:space="4" w:color="333333"/>
        </w:pBdr>
      </w:pPr>
      <w:r>
        <w:rPr>
          <w:rFonts w:ascii="黑体" w:hAnsi="黑体" w:eastAsia="黑体"/>
          <w:b/>
          <w:sz w:val="32"/>
        </w:rPr>
        <w:t>七、团队架构与工作流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项目采用双轨验证架构（3R+5S，v4定稿）。三条主线角色（R1-R3）执行核心管线；两条审计角色（S1-S2）独立验证各阶段；一项写作角色（S4）贯穿始终；两项可视化角色（S5-S6）负责全部图表。每个主线产出均经审计交叉验证后方可进入下一阶段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代号</w:t>
            </w:r>
          </w:p>
        </w:tc>
        <w:tc>
          <w:tcPr>
            <w:tcW w:type="dxa" w:w="2268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8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2268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核心交付物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R1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特征工程架构师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数据清洗→特征构建→降维→筛选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最终特征矩阵（234×k）</w:t>
            </w:r>
          </w:p>
        </w:tc>
      </w:tr>
      <w:tr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S1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特征审计员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使用替代方法独立验证R1输出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审计报告+核准特征集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R2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建模与优化工程师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基线模型→集成→XGBoost→QRF→NSGA-II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训练模型+预测结果+Pareto前沿</w:t>
            </w:r>
          </w:p>
        </w:tc>
      </w:tr>
      <w:tr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S2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模型验证员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空间CV+置换检验+Moran's I审计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验证报告+核准模型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R3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SHAP解释工程师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SHAP分析+Bootstrap置信区间+EESI构建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SHAP分析包+解读报告</w:t>
            </w:r>
          </w:p>
        </w:tc>
      </w:tr>
      <w:tr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S4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论文撰写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全程同步撰写（持续产出）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论文初稿（目标期刊：JIA）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S5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主体图设计师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Fig 1-7全流程制作（600 DPI TIFF）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7张正文图表</w:t>
            </w:r>
          </w:p>
        </w:tc>
      </w:tr>
      <w:tr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S6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附录图设计师+规范管理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Fig S1-S12制作（300 DPI PNG）；维护风格表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12张附图+matplotlib风格文件</w:t>
            </w:r>
          </w:p>
        </w:tc>
      </w:tr>
    </w:tbl>
    <w:p/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预计工期：17个工作日（约3.5个自然周），含迭代与导师审阅缓冲。</w:t>
      </w:r>
    </w:p>
    <w:p>
      <w:pPr>
        <w:spacing w:before="240" w:after="80"/>
      </w:pPr>
      <w:r>
        <w:rPr>
          <w:rFonts w:ascii="黑体" w:hAnsi="黑体" w:eastAsia="黑体"/>
          <w:b/>
          <w:sz w:val="26"/>
        </w:rPr>
        <w:t>7.1 数据流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源数据位于Data/目录（WorldClim、SoilGrids、SRTM、Variety、Management）。特征工程脚本在src/r1_feature_engineering/中运行，读取Data/数据并将中间产出写入Outputs/intermediate/。建模脚本在src/r2_modeling/中读取特征矩阵，训练模型并保存.pkl文件至Outputs/models/。解释脚本在src/r3_shap_interpretation/中加载模型并输出SHAP结果。全项目图表统一使用config/style_2026sp.mplstyle风格文件，主体图输出至Outputs/figures/main/（S5），附录图输出至Outputs/figures/supp/（S6）。</w:t>
      </w:r>
    </w:p>
    <w:p>
      <w:pPr>
        <w:spacing w:before="360" w:after="160"/>
        <w:pBdr>
          <w:bottom w:val="single" w:sz="4" w:space="4" w:color="333333"/>
        </w:pBdr>
      </w:pPr>
      <w:r>
        <w:rPr>
          <w:rFonts w:ascii="黑体" w:hAnsi="黑体" w:eastAsia="黑体"/>
          <w:b/>
          <w:sz w:val="32"/>
        </w:rPr>
        <w:t>八、预期成果</w:t>
      </w:r>
    </w:p>
    <w:p>
      <w:pPr>
        <w:spacing w:before="240" w:after="80"/>
      </w:pPr>
      <w:r>
        <w:rPr>
          <w:rFonts w:ascii="黑体" w:hAnsi="黑体" w:eastAsia="黑体"/>
          <w:b/>
          <w:sz w:val="26"/>
        </w:rPr>
        <w:t>8.1 学术产出</w:t>
      </w:r>
    </w:p>
    <w:p>
      <w:pPr>
        <w:pStyle w:val="ListBullet"/>
        <w:spacing w:line="360" w:lineRule="auto"/>
      </w:pPr>
      <w:r>
        <w:rPr>
          <w:rFonts w:ascii="宋体" w:hAnsi="宋体" w:eastAsia="宋体"/>
          <w:sz w:val="24"/>
        </w:rPr>
        <w:t>一篇同行评审论文，目标期刊Journal of Integrative Agriculture（JIA，IF约4.0），备选Agronomy-Basel或PeerJ。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sz w:val="24"/>
        </w:rPr>
        <w:t>一个经过验证的、可解释的网格化产量预测与管理优化ML框架，可推广至其他区域。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sz w:val="24"/>
        </w:rPr>
        <w:t>开源代码库（GitHub: github.com/DearDragon233/2026-SP），按角色模块组织全部分析脚本。</w:t>
      </w:r>
    </w:p>
    <w:p>
      <w:pPr>
        <w:spacing w:before="240" w:after="80"/>
      </w:pPr>
      <w:r>
        <w:rPr>
          <w:rFonts w:ascii="黑体" w:hAnsi="黑体" w:eastAsia="黑体"/>
          <w:b/>
          <w:sz w:val="26"/>
        </w:rPr>
        <w:t>8.2 图表产出（共19张）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268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8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268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制作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Fig 1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研究区域总览+环境指纹设计示意图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总览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S5</w:t>
            </w:r>
          </w:p>
        </w:tc>
      </w:tr>
      <w:tr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Fig 2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特征重要性排序+Bootstrap 95%置信区间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方法/结果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S5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Fig 3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模型性能对比（5种模型，空间CV）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结果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S5</w:t>
            </w:r>
          </w:p>
        </w:tc>
      </w:tr>
      <w:tr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Fig 4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空间产量预测图+QRF不确定性分布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结果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S5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Fig 5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SHAP摘要+前8位特征依赖图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结果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S5</w:t>
            </w:r>
          </w:p>
        </w:tc>
      </w:tr>
      <w:tr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Fig 6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SHAP交互热力图+G×E效应分解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结果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S5</w:t>
            </w:r>
          </w:p>
        </w:tc>
      </w:tr>
      <w:tr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Fig 7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NSGA-II Pareto前沿+优化管理方案组合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结果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S5</w:t>
            </w:r>
          </w:p>
        </w:tc>
      </w:tr>
      <w:tr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Fig S1-S12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数据诊断、敏感性分析、补充地图等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附录</w:t>
            </w:r>
          </w:p>
        </w:tc>
        <w:tc>
          <w:tcPr>
            <w:tcW w:type="dxa" w:w="2268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S6</w:t>
            </w:r>
          </w:p>
        </w:tc>
      </w:tr>
    </w:tbl>
    <w:p/>
    <w:p>
      <w:pPr>
        <w:spacing w:before="240" w:after="80"/>
      </w:pPr>
      <w:r>
        <w:rPr>
          <w:rFonts w:ascii="黑体" w:hAnsi="黑体" w:eastAsia="黑体"/>
          <w:b/>
          <w:sz w:val="26"/>
        </w:rPr>
        <w:t>8.3 数据产品</w:t>
      </w:r>
    </w:p>
    <w:p>
      <w:pPr>
        <w:pStyle w:val="ListBullet"/>
        <w:spacing w:line="360" w:lineRule="auto"/>
      </w:pPr>
      <w:r>
        <w:rPr>
          <w:rFonts w:ascii="宋体" w:hAnsi="宋体" w:eastAsia="宋体"/>
          <w:sz w:val="24"/>
        </w:rPr>
        <w:t>清洗后的环境指纹矩阵（234网格×k特征），发表时附带DOI公开存档。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sz w:val="24"/>
        </w:rPr>
        <w:t>从Xiao et al.(2024)提取的管理数据CSV格式（便利Python用户，保留原始.rds文件）。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sz w:val="24"/>
        </w:rPr>
        <w:t>训练模型checkpoint文件（.pkl），确保结果可复现。</w:t>
      </w:r>
    </w:p>
    <w:p>
      <w:pPr>
        <w:spacing w:before="360" w:after="160"/>
        <w:pBdr>
          <w:bottom w:val="single" w:sz="4" w:space="4" w:color="333333"/>
        </w:pBdr>
      </w:pPr>
      <w:r>
        <w:rPr>
          <w:rFonts w:ascii="黑体" w:hAnsi="黑体" w:eastAsia="黑体"/>
          <w:b/>
          <w:sz w:val="32"/>
        </w:rPr>
        <w:t>九、核心参考文献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全文精读指南（34篇文献，含详细阅读笔记）见ManageFiles/26SP_参考文献精读与使用指南.pdf。10篇OA论文PDF已下载至Paper/文件夹。核心方法学文献如下：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陈天奇, Guestrin C. 2016. XGBoost: 可扩展的树提升系统. KDD 2016. arXiv:1603.02754.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Lundberg SM, Lee SI. 2017. 模型预测的统一解释方法. NeurIPS 2017. arXiv:1705.07874.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Breiman L. 2001. 随机森林. Machine Learning 45(1):5-32.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Meinshausen N. 2006. 分位数回归森林. Journal of Machine Learning Research 7:983-999.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Shahhosseini M等. 2021. 机器学习与作物模型耦合. Agricultural and Forest Meteorology 307:108486.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Xiao L等. 2024. 农业管理措施的时空协同优化. Nature Food 5:59-71. [数据: Figshare, CC BY 4.0]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Bai S等. 2024. 作物产量预测的环境指纹方法. Nature Food 5:148-159.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Runge J等. 2019. 大规模时间序列因果关联的检测与量化. Science Advances 5:eaau4996.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Akiba T等. 2019. Optuna: 新一代超参数优化框架. KDD 2019. arXiv:1907.10902.</w:t>
      </w:r>
    </w:p>
    <w:p>
      <w:pPr>
        <w:spacing w:line="360" w:lineRule="auto"/>
        <w:ind w:firstLine="480"/>
      </w:pPr>
      <w:r>
        <w:rPr>
          <w:rFonts w:ascii="宋体" w:hAnsi="宋体" w:eastAsia="宋体"/>
          <w:sz w:val="24"/>
        </w:rPr>
        <w:t>何中虎等. 2010. 中麦175高产高效广适特性解析. 中国农业科学 43(3):459-467.</w:t>
      </w:r>
    </w:p>
    <w:p>
      <w:pPr>
        <w:spacing w:before="360" w:after="160"/>
        <w:pBdr>
          <w:bottom w:val="single" w:sz="4" w:space="4" w:color="333333"/>
        </w:pBdr>
      </w:pPr>
      <w:r>
        <w:rPr>
          <w:rFonts w:ascii="黑体" w:hAnsi="黑体" w:eastAsia="黑体"/>
          <w:b/>
          <w:sz w:val="32"/>
        </w:rPr>
        <w:t>十、当前状态与下一步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536"/>
        <w:gridCol w:w="4536"/>
      </w:tblGrid>
      <w:tr>
        <w:tc>
          <w:tcPr>
            <w:tcW w:type="dxa" w:w="4536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事项</w:t>
            </w:r>
          </w:p>
        </w:tc>
        <w:tc>
          <w:tcPr>
            <w:tcW w:type="dxa" w:w="4536"/>
            <w:shd w:val="clear" w:fill="2c3e50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环境指纹CSV（234×73）</w:t>
            </w:r>
          </w:p>
        </w:tc>
        <w:tc>
          <w:tcPr>
            <w:tcW w:type="dxa" w:w="4536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已就绪</w:t>
            </w:r>
          </w:p>
        </w:tc>
      </w:tr>
      <w:tr>
        <w:tc>
          <w:tcPr>
            <w:tcW w:type="dxa" w:w="4536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品种性状数据（8小麦+8玉米）</w:t>
            </w:r>
          </w:p>
        </w:tc>
        <w:tc>
          <w:tcPr>
            <w:tcW w:type="dxa" w:w="4536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已就绪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管理情景（14自主+Xiao 2024公开数据）</w:t>
            </w:r>
          </w:p>
        </w:tc>
        <w:tc>
          <w:tcPr>
            <w:tcW w:type="dxa" w:w="4536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已就绪</w:t>
            </w:r>
          </w:p>
        </w:tc>
      </w:tr>
      <w:tr>
        <w:tc>
          <w:tcPr>
            <w:tcW w:type="dxa" w:w="4536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参考文献PDF（10篇OA论文，17 MB）</w:t>
            </w:r>
          </w:p>
        </w:tc>
        <w:tc>
          <w:tcPr>
            <w:tcW w:type="dxa" w:w="4536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已就绪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项目管理文档（9 PDF+2 MD）</w:t>
            </w:r>
          </w:p>
        </w:tc>
        <w:tc>
          <w:tcPr>
            <w:tcW w:type="dxa" w:w="4536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已就绪</w:t>
            </w:r>
          </w:p>
        </w:tc>
      </w:tr>
      <w:tr>
        <w:tc>
          <w:tcPr>
            <w:tcW w:type="dxa" w:w="4536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GitHub仓库结构（src/模块化+Outputs/子文件夹）</w:t>
            </w:r>
          </w:p>
        </w:tc>
        <w:tc>
          <w:tcPr>
            <w:tcW w:type="dxa" w:w="4536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已就绪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R1：特征工程</w:t>
            </w:r>
          </w:p>
        </w:tc>
        <w:tc>
          <w:tcPr>
            <w:tcW w:type="dxa" w:w="4536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待启动</w:t>
            </w:r>
          </w:p>
        </w:tc>
      </w:tr>
      <w:tr>
        <w:tc>
          <w:tcPr>
            <w:tcW w:type="dxa" w:w="4536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S1：特征审计（与R1并行）</w:t>
            </w:r>
          </w:p>
        </w:tc>
        <w:tc>
          <w:tcPr>
            <w:tcW w:type="dxa" w:w="4536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待启动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R2：建模管线</w:t>
            </w:r>
          </w:p>
        </w:tc>
        <w:tc>
          <w:tcPr>
            <w:tcW w:type="dxa" w:w="4536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待启动</w:t>
            </w:r>
          </w:p>
        </w:tc>
      </w:tr>
      <w:tr>
        <w:tc>
          <w:tcPr>
            <w:tcW w:type="dxa" w:w="4536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S5/S6：图表制作</w:t>
            </w:r>
          </w:p>
        </w:tc>
        <w:tc>
          <w:tcPr>
            <w:tcW w:type="dxa" w:w="4536"/>
            <w:shd w:val="clear" w:fill="f4f6f7"/>
          </w:tcPr>
          <w:p>
            <w:pPr>
              <w:spacing w:before="20" w:after="20" w:line="276" w:lineRule="auto"/>
            </w:pPr>
            <w:r>
              <w:rPr>
                <w:rFonts w:ascii="宋体" w:hAnsi="宋体" w:eastAsia="宋体"/>
                <w:b w:val="0"/>
                <w:sz w:val="18"/>
              </w:rPr>
              <w:t>待启动（可提前）</w:t>
            </w:r>
          </w:p>
        </w:tc>
      </w:tr>
    </w:tbl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