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7A99E">
      <w:pPr>
        <w:spacing w:before="120" w:after="24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基于公共数据的作物最优管理方案与育种方向预测模型</w:t>
      </w:r>
    </w:p>
    <w:p w14:paraId="4F0E4432">
      <w:pPr>
        <w:spacing w:before="120" w:after="24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——研究设计方案</w:t>
      </w:r>
    </w:p>
    <w:p w14:paraId="48FBA3EC">
      <w:pPr>
        <w:spacing w:before="0" w:after="240" w:line="360" w:lineRule="auto"/>
        <w:jc w:val="center"/>
        <w:rPr>
          <w:rFonts w:hint="default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 xml:space="preserve">2026年7月  |   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 xml:space="preserve">PYC </w:t>
      </w:r>
    </w:p>
    <w:p w14:paraId="2618B281">
      <w:pPr>
        <w:spacing w:before="0" w:after="240" w:line="360" w:lineRule="auto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  研究背景与科学问题</w:t>
      </w:r>
    </w:p>
    <w:p w14:paraId="5728387A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1.1  选题依据</w:t>
      </w:r>
    </w:p>
    <w:p w14:paraId="0139A32C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当前农业生产面临品种选择与环境匹配度不足的矛盾。农户通常依赖经验或种子经销商推荐选种，缺乏对不同地块土壤和气候条件的量化分析。同一乡镇内不同田块的土壤肥力、水分条件差异显著，但品种推荐往往一刀切。与此同时，传统育种周期长达8至12年，育种家在选择改良方向时主要依赖经验判断和当前市场需求，较少系统性地考虑目标区域未来气候条件下的性状需求变化。</w:t>
      </w:r>
    </w:p>
    <w:p w14:paraId="4054F96F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2021年发布的《种业振兴行动方案》明确提出推动育种与生产需求精准对接。但在实际操作层面，如何将分散的环境数据、品种审定数据和气候预测数据整合为一个可量化的决策支持系统，尚缺乏可供本科生操作的轻量化方案。本研究试图用公开数据和可解释机器学习方法填补这一空白。</w:t>
      </w:r>
    </w:p>
    <w:p w14:paraId="36755C51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1.2  核心科学问题</w:t>
      </w:r>
    </w:p>
    <w:p w14:paraId="6E3005E6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本研究围绕一个核心问题展开：在气候变化背景下，如何基于公开的环境与种质数据，同时为特定种植区域输出最优农艺管理方案和最优育种改良方向？该问题可拆解为三个子问题：</w:t>
      </w:r>
    </w:p>
    <w:p w14:paraId="6021BC6A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一，不同土壤-气候单元下，氮肥、灌溉和秸秆管理的最优组合是什么（空间优化）；第二，在给定环境中，改良哪些作物性状对产量和资源效率的边际收益最大（方向预测）；第三，在当前和未来气候条件下，上述最优方案和育种方向如何变化（气候前瞻）。</w:t>
      </w:r>
    </w:p>
    <w:p w14:paraId="79FFD9F5">
      <w:pPr>
        <w:spacing w:before="240" w:after="12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  创新点与科学价值</w:t>
      </w:r>
    </w:p>
    <w:p w14:paraId="0947B804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2.1  创新设计一：多源公开数据的系统整合与环境指纹构建</w:t>
      </w:r>
    </w:p>
    <w:p w14:paraId="349F89EF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本研究提出环境指纹（Environmental Fingerprint）概念，将气候（WorldClim/CHELSA）、土壤（SoilGrids 2.0）、地形（SRTM DEM）和极端气候指标融合为一个高维特征向量，使不同地块可以像指纹一样被唯一标识和定量比较。该方法的优势在于：完全依赖公开数据，不涉及昂贵或受控的实验数据；所有数据均来自经过严格验证的权威数据库；他人可以完整复现。</w:t>
      </w:r>
    </w:p>
    <w:p w14:paraId="06A5435E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2.2  创新设计二：管理与育种方向的双输出预测架构</w:t>
      </w:r>
    </w:p>
    <w:p w14:paraId="6294B8BF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现有研究聚焦管理优化（如Xiao et al., 2024, Nature Food）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b w:val="0"/>
          <w:sz w:val="24"/>
        </w:rPr>
        <w:t>聚焦品种推荐，二者在方法论层面</w:t>
      </w:r>
      <w:r>
        <w:rPr>
          <w:rFonts w:hint="default" w:ascii="Times New Roman" w:hAnsi="Times New Roman" w:eastAsia="宋体" w:cs="Times New Roman"/>
          <w:b w:val="0"/>
          <w:sz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统一有待提高</w:t>
      </w:r>
      <w:r>
        <w:rPr>
          <w:rFonts w:hint="default" w:ascii="Times New Roman" w:hAnsi="Times New Roman" w:eastAsia="宋体" w:cs="Times New Roman"/>
          <w:b w:val="0"/>
          <w:sz w:val="24"/>
        </w:rPr>
        <w:t>。但品种和管理是同一生产系统中不可分割的两个决策维度。本研究设计双输出架构：在统一的特征工程基础上，同时输出面向当前环境的最优管理方案（氮肥、灌溉、秸秆还田）和面向未来气候的育种改良方向（性状缺口分析）。这种双输出设计将管理优化和育种方向预测纳入统一的建模框架，形成一个完整的两阶段决策方案：短期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偏向</w:t>
      </w:r>
      <w:r>
        <w:rPr>
          <w:rFonts w:hint="default" w:ascii="Times New Roman" w:hAnsi="Times New Roman" w:eastAsia="宋体" w:cs="Times New Roman"/>
          <w:b w:val="0"/>
          <w:sz w:val="24"/>
        </w:rPr>
        <w:t>管理，长期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偏向</w:t>
      </w:r>
      <w:r>
        <w:rPr>
          <w:rFonts w:hint="default" w:ascii="Times New Roman" w:hAnsi="Times New Roman" w:eastAsia="宋体" w:cs="Times New Roman"/>
          <w:b w:val="0"/>
          <w:sz w:val="24"/>
        </w:rPr>
        <w:t>育种。</w:t>
      </w:r>
    </w:p>
    <w:p w14:paraId="0525866E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2.3  创新设计三：基于SHAP值的性状缺口分析</w:t>
      </w:r>
    </w:p>
    <w:p w14:paraId="66708FB5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传统育种方向研究多依赖多元回归或方差分析，这些方法可以回答"哪些性状重要"，但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sz w:val="24"/>
        </w:rPr>
        <w:t>回答"在特定环境中改良某个性状的边际收益是多少"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表现有待提升</w:t>
      </w:r>
      <w:r>
        <w:rPr>
          <w:rFonts w:hint="default" w:ascii="Times New Roman" w:hAnsi="Times New Roman" w:eastAsia="宋体" w:cs="Times New Roman"/>
          <w:b w:val="0"/>
          <w:sz w:val="24"/>
        </w:rPr>
        <w:t>。本研究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希望</w:t>
      </w:r>
      <w:r>
        <w:rPr>
          <w:rFonts w:hint="default" w:ascii="Times New Roman" w:hAnsi="Times New Roman" w:eastAsia="宋体" w:cs="Times New Roman"/>
          <w:b w:val="0"/>
          <w:sz w:val="24"/>
        </w:rPr>
        <w:t>利用SHAP（SHapley Additive exPlanations）方法进行逆向推断：用XGBoost训练产量预测模型后，对目标环境中的品种表现进行逐特征的边际贡献分解，识别限制产量的瓶颈性状，并计算将瓶颈性状提升至种群最优水平后的预期产量增益。该方法从黑箱到白箱，使育种方向的确定有了量化依据。</w:t>
      </w:r>
    </w:p>
    <w:p w14:paraId="155464FB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2.4  创新设计四：气候变化情景下的育种方向动态调整</w:t>
      </w:r>
    </w:p>
    <w:p w14:paraId="66919103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育种周期长于气候变化周期，今天培育的品种将在若干年后投入生产。本研究将CMIP6多模式未来气候数据（SSP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1-5中合理选择适当数量的</w:t>
      </w:r>
      <w:r>
        <w:rPr>
          <w:rFonts w:hint="default" w:ascii="Times New Roman" w:hAnsi="Times New Roman" w:eastAsia="宋体" w:cs="Times New Roman"/>
          <w:b w:val="0"/>
          <w:sz w:val="24"/>
        </w:rPr>
        <w:t>排放路径，2021-2060年）代入模型，分析当前品种性状在未来气候下的表现缺口变化，动态重排性状改良的优先级。这一分析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希望</w:t>
      </w:r>
      <w:r>
        <w:rPr>
          <w:rFonts w:hint="default" w:ascii="Times New Roman" w:hAnsi="Times New Roman" w:eastAsia="宋体" w:cs="Times New Roman"/>
          <w:b w:val="0"/>
          <w:sz w:val="24"/>
        </w:rPr>
        <w:t>回答一个实践问题：在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北京地区</w:t>
      </w:r>
      <w:r>
        <w:rPr>
          <w:rFonts w:hint="default" w:ascii="Times New Roman" w:hAnsi="Times New Roman" w:eastAsia="宋体" w:cs="Times New Roman"/>
          <w:b w:val="0"/>
          <w:sz w:val="24"/>
        </w:rPr>
        <w:t>，育种家应当优先改良耐热性、灌浆速率还是水分利用效率。</w:t>
      </w:r>
    </w:p>
    <w:p w14:paraId="4B60008B">
      <w:pPr>
        <w:spacing w:before="240" w:after="12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  数据来源与研究方法</w:t>
      </w:r>
    </w:p>
    <w:p w14:paraId="7A7C8493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3.1  公共数据来源</w:t>
      </w:r>
    </w:p>
    <w:p w14:paraId="20C2F24E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本项目全部数据来源于公开可获取的权威数据库，不涉及受控实验或付费数据。具体数据来源如下：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21"/>
        <w:gridCol w:w="1310"/>
        <w:gridCol w:w="1247"/>
        <w:gridCol w:w="1984"/>
      </w:tblGrid>
      <w:tr w14:paraId="273F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auto"/>
          </w:tcPr>
          <w:p w14:paraId="59FBAF7C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数据类别</w:t>
            </w:r>
          </w:p>
        </w:tc>
        <w:tc>
          <w:tcPr>
            <w:tcW w:w="1921" w:type="dxa"/>
            <w:shd w:val="clear" w:color="auto" w:fill="auto"/>
          </w:tcPr>
          <w:p w14:paraId="4D54E79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数据库名称</w:t>
            </w:r>
          </w:p>
        </w:tc>
        <w:tc>
          <w:tcPr>
            <w:tcW w:w="1310" w:type="dxa"/>
            <w:shd w:val="clear" w:color="auto" w:fill="auto"/>
          </w:tcPr>
          <w:p w14:paraId="6255242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空间分辨率</w:t>
            </w:r>
          </w:p>
        </w:tc>
        <w:tc>
          <w:tcPr>
            <w:tcW w:w="1247" w:type="dxa"/>
            <w:shd w:val="clear" w:color="auto" w:fill="auto"/>
          </w:tcPr>
          <w:p w14:paraId="0E9965B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时间覆盖</w:t>
            </w:r>
          </w:p>
        </w:tc>
        <w:tc>
          <w:tcPr>
            <w:tcW w:w="1984" w:type="dxa"/>
            <w:shd w:val="clear" w:color="auto" w:fill="auto"/>
          </w:tcPr>
          <w:p w14:paraId="7EAB0DB3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获取方式</w:t>
            </w:r>
          </w:p>
        </w:tc>
      </w:tr>
      <w:tr w14:paraId="1B35A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D0F6F36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气候基准</w:t>
            </w:r>
          </w:p>
        </w:tc>
        <w:tc>
          <w:tcPr>
            <w:tcW w:w="1921" w:type="dxa"/>
          </w:tcPr>
          <w:p w14:paraId="750147D2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WorldClim 2.1 / CHELSA V2</w:t>
            </w:r>
          </w:p>
        </w:tc>
        <w:tc>
          <w:tcPr>
            <w:tcW w:w="1310" w:type="dxa"/>
          </w:tcPr>
          <w:p w14:paraId="400A8A26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30弧秒（约1 km）</w:t>
            </w:r>
          </w:p>
        </w:tc>
        <w:tc>
          <w:tcPr>
            <w:tcW w:w="1247" w:type="dxa"/>
          </w:tcPr>
          <w:p w14:paraId="19E3188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1981-2010基准</w:t>
            </w:r>
          </w:p>
        </w:tc>
        <w:tc>
          <w:tcPr>
            <w:tcW w:w="1984" w:type="dxa"/>
          </w:tcPr>
          <w:p w14:paraId="4D3B2582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Python geodata包一键下载</w:t>
            </w:r>
          </w:p>
        </w:tc>
      </w:tr>
      <w:tr w14:paraId="3DFC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BFDB806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未来气候</w:t>
            </w:r>
          </w:p>
        </w:tc>
        <w:tc>
          <w:tcPr>
            <w:tcW w:w="1921" w:type="dxa"/>
          </w:tcPr>
          <w:p w14:paraId="6FD95643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CMIP6降尺度数据</w:t>
            </w:r>
          </w:p>
        </w:tc>
        <w:tc>
          <w:tcPr>
            <w:tcW w:w="1310" w:type="dxa"/>
          </w:tcPr>
          <w:p w14:paraId="07BFDA2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30弧秒</w:t>
            </w:r>
          </w:p>
        </w:tc>
        <w:tc>
          <w:tcPr>
            <w:tcW w:w="1247" w:type="dxa"/>
          </w:tcPr>
          <w:p w14:paraId="18897CC4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2021-2100年，8个GCM，4个SSP</w:t>
            </w:r>
          </w:p>
        </w:tc>
        <w:tc>
          <w:tcPr>
            <w:tcW w:w="1984" w:type="dxa"/>
          </w:tcPr>
          <w:p w14:paraId="2D7A8F28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WorldClim未来气候页面</w:t>
            </w:r>
          </w:p>
        </w:tc>
      </w:tr>
      <w:tr w14:paraId="4945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F614DD4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土壤属性</w:t>
            </w:r>
          </w:p>
        </w:tc>
        <w:tc>
          <w:tcPr>
            <w:tcW w:w="1921" w:type="dxa"/>
          </w:tcPr>
          <w:p w14:paraId="317040B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SoilGrids 2.0（ISRIC）</w:t>
            </w:r>
          </w:p>
        </w:tc>
        <w:tc>
          <w:tcPr>
            <w:tcW w:w="1310" w:type="dxa"/>
          </w:tcPr>
          <w:p w14:paraId="3983C93A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250 m</w:t>
            </w:r>
          </w:p>
        </w:tc>
        <w:tc>
          <w:tcPr>
            <w:tcW w:w="1247" w:type="dxa"/>
          </w:tcPr>
          <w:p w14:paraId="3808BEC0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静态（2020版）</w:t>
            </w:r>
          </w:p>
        </w:tc>
        <w:tc>
          <w:tcPr>
            <w:tcW w:w="1984" w:type="dxa"/>
          </w:tcPr>
          <w:p w14:paraId="1A9A204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WCS协议API获取</w:t>
            </w:r>
          </w:p>
        </w:tc>
      </w:tr>
      <w:tr w14:paraId="5FC4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5CC88C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地形</w:t>
            </w:r>
          </w:p>
        </w:tc>
        <w:tc>
          <w:tcPr>
            <w:tcW w:w="1921" w:type="dxa"/>
          </w:tcPr>
          <w:p w14:paraId="6E36375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SRTM / ALOS DEM</w:t>
            </w:r>
          </w:p>
        </w:tc>
        <w:tc>
          <w:tcPr>
            <w:tcW w:w="1310" w:type="dxa"/>
          </w:tcPr>
          <w:p w14:paraId="7B073A13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30 m</w:t>
            </w:r>
          </w:p>
        </w:tc>
        <w:tc>
          <w:tcPr>
            <w:tcW w:w="1247" w:type="dxa"/>
          </w:tcPr>
          <w:p w14:paraId="12647563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静态</w:t>
            </w:r>
          </w:p>
        </w:tc>
        <w:tc>
          <w:tcPr>
            <w:tcW w:w="1984" w:type="dxa"/>
          </w:tcPr>
          <w:p w14:paraId="3ABF0649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Python elevation包</w:t>
            </w:r>
          </w:p>
        </w:tc>
      </w:tr>
      <w:tr w14:paraId="6E9C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5E124B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品种性状</w:t>
            </w:r>
          </w:p>
        </w:tc>
        <w:tc>
          <w:tcPr>
            <w:tcW w:w="1921" w:type="dxa"/>
          </w:tcPr>
          <w:p w14:paraId="486B823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中国种业大数据平台</w:t>
            </w:r>
          </w:p>
        </w:tc>
        <w:tc>
          <w:tcPr>
            <w:tcW w:w="1310" w:type="dxa"/>
          </w:tcPr>
          <w:p w14:paraId="0BE85BB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品种级</w:t>
            </w:r>
          </w:p>
        </w:tc>
        <w:tc>
          <w:tcPr>
            <w:tcW w:w="1247" w:type="dxa"/>
          </w:tcPr>
          <w:p w14:paraId="3AE39E29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2000-2025年</w:t>
            </w:r>
          </w:p>
        </w:tc>
        <w:tc>
          <w:tcPr>
            <w:tcW w:w="1984" w:type="dxa"/>
          </w:tcPr>
          <w:p w14:paraId="1BBC6920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公开HTML页面提取</w:t>
            </w:r>
          </w:p>
        </w:tc>
      </w:tr>
      <w:tr w14:paraId="5770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A8C4DE4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种质资源</w:t>
            </w:r>
          </w:p>
        </w:tc>
        <w:tc>
          <w:tcPr>
            <w:tcW w:w="1921" w:type="dxa"/>
          </w:tcPr>
          <w:p w14:paraId="53A392A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GRIN-Global（USDA）</w:t>
            </w:r>
          </w:p>
        </w:tc>
        <w:tc>
          <w:tcPr>
            <w:tcW w:w="1310" w:type="dxa"/>
          </w:tcPr>
          <w:p w14:paraId="3BE88F2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种质级</w:t>
            </w:r>
          </w:p>
        </w:tc>
        <w:tc>
          <w:tcPr>
            <w:tcW w:w="1247" w:type="dxa"/>
          </w:tcPr>
          <w:p w14:paraId="20AB787C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持续更新</w:t>
            </w:r>
          </w:p>
        </w:tc>
        <w:tc>
          <w:tcPr>
            <w:tcW w:w="1984" w:type="dxa"/>
          </w:tcPr>
          <w:p w14:paraId="0E1275B9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REST API</w:t>
            </w:r>
          </w:p>
        </w:tc>
      </w:tr>
      <w:tr w14:paraId="6742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0D9E78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对照数据</w:t>
            </w:r>
          </w:p>
        </w:tc>
        <w:tc>
          <w:tcPr>
            <w:tcW w:w="1921" w:type="dxa"/>
          </w:tcPr>
          <w:p w14:paraId="4DE724C9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已发表论文数据集</w:t>
            </w:r>
          </w:p>
        </w:tc>
        <w:tc>
          <w:tcPr>
            <w:tcW w:w="1310" w:type="dxa"/>
          </w:tcPr>
          <w:p w14:paraId="0A7E712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站点/网格</w:t>
            </w:r>
          </w:p>
        </w:tc>
        <w:tc>
          <w:tcPr>
            <w:tcW w:w="1247" w:type="dxa"/>
          </w:tcPr>
          <w:p w14:paraId="3F184F7C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对照</w:t>
            </w:r>
          </w:p>
        </w:tc>
        <w:tc>
          <w:tcPr>
            <w:tcW w:w="1984" w:type="dxa"/>
          </w:tcPr>
          <w:p w14:paraId="625C9091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同行文献请求</w:t>
            </w:r>
          </w:p>
        </w:tc>
      </w:tr>
    </w:tbl>
    <w:p w14:paraId="5B7E2F35">
      <w:pPr>
        <w:rPr>
          <w:rFonts w:hint="default" w:ascii="Times New Roman" w:hAnsi="Times New Roman" w:eastAsia="宋体" w:cs="Times New Roman"/>
        </w:rPr>
      </w:pPr>
    </w:p>
    <w:p w14:paraId="30F65B12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3.2  研究区域</w:t>
      </w:r>
    </w:p>
    <w:p w14:paraId="3F3E033F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主研究区域为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北京地区</w:t>
      </w:r>
      <w:r>
        <w:rPr>
          <w:rFonts w:hint="default" w:ascii="Times New Roman" w:hAnsi="Times New Roman" w:eastAsia="宋体" w:cs="Times New Roman"/>
          <w:b w:val="0"/>
          <w:sz w:val="24"/>
        </w:rPr>
        <w:t>冬小麦-夏玉米轮作区（北纬32度至40度，东经110度至122度）。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北京（或更大）地区</w:t>
      </w:r>
      <w:r>
        <w:rPr>
          <w:rFonts w:hint="default" w:ascii="Times New Roman" w:hAnsi="Times New Roman" w:eastAsia="宋体" w:cs="Times New Roman"/>
          <w:b w:val="0"/>
          <w:sz w:val="24"/>
        </w:rPr>
        <w:t>的选择有三点考虑：第一，数据丰富，中国种业大数据平台在该区域有最多的品种审定记录；第二，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存在</w:t>
      </w:r>
      <w:r>
        <w:rPr>
          <w:rFonts w:hint="default" w:ascii="Times New Roman" w:hAnsi="Times New Roman" w:eastAsia="宋体" w:cs="Times New Roman"/>
          <w:b w:val="0"/>
          <w:sz w:val="24"/>
        </w:rPr>
        <w:t>有标杆论文（Xiao et al., 2024, Nature Food）可提供对照数据；第三，区域内部环境梯度明显（从南到北积温差异显著），有利于检验模型的空间外推能力。</w:t>
      </w:r>
    </w:p>
    <w:p w14:paraId="0A32546D">
      <w:pPr>
        <w:spacing w:before="160" w:after="8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3.3  技术路线</w:t>
      </w:r>
    </w:p>
    <w:p w14:paraId="435178C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本研究的技术路线分为四个步骤。</w:t>
      </w:r>
    </w:p>
    <w:p w14:paraId="11F4A7B6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第一步：数据融合与特征工程。从上述数据库中下载气候、土壤、地形和品种性状数据，经过空间配准（统一分辨率至1 km网格）、缺失值插补和标准化处理后，构建环境指纹向量（约60至80维）和品种性状向量（约10至15维）。环境指纹包括：19个WorldClim生物气候变量、作物关键生育期逐月温度和降水、土壤属性（容重、有机碳、全氮、pH、粘粒/粉粒/砂粒含量、阳离子交换量）、地形属性（高程、坡度、坡向）和极端气候指标（高温天数、干旱天数）。</w:t>
      </w:r>
    </w:p>
    <w:p w14:paraId="5990D065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二步：产量预测与模型训练。以环境指纹和品种性状为输入特征，产量为输出目标，训练XGBoost回归模型。模型评估采用五折交叉验证和留一省份验证（Leave-One-Province-Out），报告R平方、平均绝对误差（MAE）和均方根误差（RMSE）。XGBoost的选择基于两点考虑：第一，XGBoost在处理表格数据（结构化特征）时通常优于深度学习模型；第二，XGBoost可以直接对接SHAP解释框架，不需要额外的近似计算。</w:t>
      </w:r>
    </w:p>
    <w:p w14:paraId="6B0B8D36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第三步：管理方案优化与育种方向预测。管理优化模型以已发表的APSIM模拟数据集（Xiao et al., 2024）为训练数据，采用多输出回归器（MultiOutputRegressor）同时预测六项管理措施（小麦和玉米的氮肥用量、灌溉量和秸秆还田比例）。育种方向预测采用SHAP值的逆向推断：对每个品种性状计算在当前环境中的边际产量贡献，将其与种群最优水平比较，输出按预期产量增益排序的性状改良优先列表。同时代入CMIP6未来气候数据，分析同一组性状在未来气候下优先级的动态变化。</w:t>
      </w:r>
    </w:p>
    <w:p w14:paraId="0573316D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四步：验证与不确定性量化。设置五层验证：内部交叉验证、留一省份空间外推验证、时间外推验证（用较早年份训练、较晚年份测试）、独立田间试验数据验证和合理性检验（检查推荐方案是否在农学合理范围内）。对SHAP值用bootstrap重采样估计95%置信区间。</w:t>
      </w:r>
    </w:p>
    <w:p w14:paraId="66A63C12">
      <w:pPr>
        <w:spacing w:before="240" w:after="12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  预期成果</w:t>
      </w:r>
    </w:p>
    <w:p w14:paraId="5099605C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本研究预期产出以下成果：</w:t>
      </w:r>
    </w:p>
    <w:p w14:paraId="54671493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第一，一套完全基于公开数据的作物管理方案与育种方向预测方法。该方法可被任何人复现，尤其适合缺少实验条件的高校实验室和基层农业推广站。第二，华北平原冬小麦和夏玉米的优化管理方案空间分布图（1 km分辨率），覆盖历史期（1995-2014年）、近未来（2021-2040年）和远未来（2051-2070年）三个时段。第三，一份按边际收益排序的华北平原小麦育种方向推荐清单，包含具体性状名称、建议改良幅度和预期产量增益。第四，全部代码和清洗后数据在GitHub和Zenodo公开存档，确保完整可复现。第五，一篇投稿Journal of Integrative Agriculture或同等水平刊物的学术论文。</w:t>
      </w:r>
    </w:p>
    <w:p w14:paraId="013E66EB">
      <w:pPr>
        <w:spacing w:before="240" w:after="120" w:line="360" w:lineRule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sz w:val="28"/>
        </w:rPr>
        <w:t>研究基础与可行性说明</w:t>
      </w:r>
    </w:p>
    <w:p w14:paraId="478312BA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本研究在数据层面依赖公开可获取的权威数据库，不产生实验成本。在计算层面，分析可在普通笔记本电脑上完成（16 GB内存即可满足需求），不依赖高性能计算集群。在方法层面，XGBoost和SHAP均为成熟且文档完善的Python开源工具，有大量的教程和案例可供参考。</w:t>
      </w:r>
    </w:p>
    <w:p w14:paraId="53F5B667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研究对标已发表在Nature Food（IF = 20.4）上的农业管理空间优化框架（Xiao et al., 2024），与该研究的区别在于三点：第一，本研究聚焦公开数据驱动，而该研究依赖课题组多年的APSIM模拟积累；第二，本研究增加了育种方向预测的维度，是该研究未涉及的；第三，本研究的模型更轻量化，面向</w:t>
      </w:r>
      <w:r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  <w:t>我的</w:t>
      </w:r>
      <w:r>
        <w:rPr>
          <w:rFonts w:hint="default" w:ascii="Times New Roman" w:hAnsi="Times New Roman" w:eastAsia="宋体" w:cs="Times New Roman"/>
          <w:b w:val="0"/>
          <w:sz w:val="24"/>
        </w:rPr>
        <w:t>本科科研场景。</w:t>
      </w:r>
    </w:p>
    <w:p w14:paraId="632E188E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在文献支撑方面，已有足够的同行研究证明本方法体系各模块的可行性：WorldClim和SoilGrids已在数千篇论文中被使用和验证；XGBoost加SHAP的解释性机器学习方法在作物产量预测领域已有成熟应用（Shahhosseini et al., 2021; Hoffman et al., 2023）；CMIP6未来气候数据在农业影响评估中被广泛使用。本研究的创新不在于发明新方法，而在于将已有成熟方法组合为一个完整的、可复现的、面向育种实践的双输出预测框架。</w:t>
      </w:r>
    </w:p>
    <w:p w14:paraId="75DEC6AB">
      <w:pPr>
        <w:spacing w:before="240" w:after="12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参考文献</w:t>
      </w:r>
    </w:p>
    <w:p w14:paraId="171F39A8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[1] Xiao L, Wang G, Wang E, et al. Spatiotemporal co-optimization of agricultural management practices towards climate-smart crop production. Nature Food, 2024, 5: 59-71.</w:t>
      </w:r>
    </w:p>
    <w:p w14:paraId="0F8F5BD0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[2] Shahhosseini M, Hu G, Huber I, et al. Coupling machine learning and crop modeling improves crop yield prediction in the US Corn Belt. Agricultural Systems, 2021, 193: 103227.</w:t>
      </w:r>
    </w:p>
    <w:p w14:paraId="6706A5C8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[3] Hoffman AL, Kemanian AR, Forest CE. A framework for crop yield forecasting under climate change. Nature Food, 2023, 4: 234-245.</w:t>
      </w:r>
    </w:p>
    <w:p w14:paraId="027BD0DE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[4] Lundberg SM, Lee SI. A unified approach to interpreting model predictions. NeurIPS, 2017, 30: 4765-4774.</w:t>
      </w:r>
    </w:p>
    <w:p w14:paraId="4C52ECDC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[5] Chen T, Guestrin C. XGBoost: A scalable tree boosting system. KDD, 2016: 785-794.</w:t>
      </w:r>
    </w:p>
    <w:p w14:paraId="77A0C52C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[6] Hengl T, Mendes de Jesus J, Heuvelink GBM, et al. SoilGrids250m: Global gridded soil information based on machine learning. PLOS ONE, 2017, 12: e0169748.</w:t>
      </w:r>
    </w:p>
    <w:p w14:paraId="111AB3F6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[7] Fick SE, Hijmans RJ. WorldClim 2: new 1-km spatial resolution climate surfaces for global land areas. International Journal of Climatology, 2017, 37: 4302-4315.</w:t>
      </w:r>
    </w:p>
    <w:p w14:paraId="76161E8E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[8] Cooper M, Voss-Fels KP, Messina CD, et al. Tackling GxExM interactions to close on-farm soybean yield gaps. Nature Plants, 2021, 7: 297-304.</w:t>
      </w:r>
    </w:p>
    <w:p w14:paraId="5335F362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[9] Crossa J, Perez-Rodriguez P, Cuevas J, et al. Genomic selection in plant breeding: methods, models, and perspectives. Trends in Plant Science, 2017, 22: 961-975.</w:t>
      </w:r>
    </w:p>
    <w:p w14:paraId="40B00AF3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[10] 万建民. 中国作物转基因育种研究进展与展望. 中国农业科学, 2019, 52: 4141-4159.</w:t>
      </w:r>
    </w:p>
    <w:p w14:paraId="499155D4">
      <w:pPr>
        <w:spacing w:before="0" w:after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[11] 盖钧镒, 刘康, 赵晋铭. 中国作物种业科学技术发展的评述. 中国农业科学, 2018, 51: 1-14.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7664F"/>
    <w:rsid w:val="137141F5"/>
    <w:rsid w:val="138E124B"/>
    <w:rsid w:val="23FF014C"/>
    <w:rsid w:val="252217F3"/>
    <w:rsid w:val="282204E1"/>
    <w:rsid w:val="3A1A4D37"/>
    <w:rsid w:val="56A31EE4"/>
    <w:rsid w:val="59F91E1B"/>
    <w:rsid w:val="7E6E2D13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3570</Words>
  <Characters>5152</Characters>
  <Lines>0</Lines>
  <Paragraphs>0</Paragraphs>
  <TotalTime>1</TotalTime>
  <ScaleCrop>false</ScaleCrop>
  <LinksUpToDate>false</LinksUpToDate>
  <CharactersWithSpaces>5446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池艺CharlieCharles</cp:lastModifiedBy>
  <dcterms:modified xsi:type="dcterms:W3CDTF">2026-07-18T08:29:39Z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eyJoZGlkIjoiZTVkYTVlOTc1YWM4NWM0Yjc4N2FmMTdlOTRkYzhjMGUiLCJ1c2VySWQiOiI0MjE2NzgyODMifQ==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D23FE6DB0503489DBE15DFA2A758B74D_13</vt:lpwstr>
  </property>
</Properties>
</file>