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B21E2"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36"/>
        </w:rPr>
        <w:t>北京市平谷区冬小麦-夏玉米轮作体系</w:t>
      </w:r>
      <w:r>
        <w:rPr>
          <w:rFonts w:hint="default" w:ascii="Times New Roman" w:hAnsi="Times New Roman" w:eastAsia="宋体" w:cs="Times New Roman"/>
          <w:b/>
          <w:sz w:val="36"/>
        </w:rPr>
        <w:br w:type="textWrapping"/>
      </w:r>
      <w:r>
        <w:rPr>
          <w:rFonts w:hint="default" w:ascii="Times New Roman" w:hAnsi="Times New Roman" w:eastAsia="宋体" w:cs="Times New Roman"/>
          <w:b/>
          <w:sz w:val="36"/>
        </w:rPr>
        <w:t>环境指纹×机器学习育种模型</w:t>
      </w:r>
      <w:r>
        <w:rPr>
          <w:rFonts w:hint="eastAsia" w:ascii="Times New Roman" w:hAnsi="Times New Roman" w:cs="Times New Roman"/>
          <w:b/>
          <w:sz w:val="36"/>
          <w:lang w:val="en-US" w:eastAsia="zh-CN"/>
        </w:rPr>
        <w:t>大纲</w:t>
      </w:r>
      <w:bookmarkStart w:id="0" w:name="_GoBack"/>
      <w:bookmarkEnd w:id="0"/>
    </w:p>
    <w:p w14:paraId="4893C30E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46464"/>
          <w:sz w:val="24"/>
        </w:rPr>
        <w:t>前期研究纲要</w:t>
      </w:r>
      <w:r>
        <w:rPr>
          <w:rFonts w:hint="default" w:ascii="Times New Roman" w:hAnsi="Times New Roman" w:eastAsia="宋体" w:cs="Times New Roman"/>
          <w:color w:val="646464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646464"/>
          <w:sz w:val="24"/>
        </w:rPr>
        <w:t>供审阅与coworker参考</w:t>
      </w:r>
    </w:p>
    <w:p w14:paraId="5B00A26A">
      <w:pPr>
        <w:spacing w:after="360"/>
        <w:jc w:val="center"/>
        <w:rPr>
          <w:rFonts w:hint="default" w:ascii="Times New Roman" w:hAnsi="Times New Roman" w:eastAsia="宋体" w:cs="Times New Roman"/>
          <w:color w:val="828282"/>
          <w:sz w:val="22"/>
        </w:rPr>
      </w:pPr>
      <w:r>
        <w:rPr>
          <w:rFonts w:hint="default" w:ascii="Times New Roman" w:hAnsi="Times New Roman" w:eastAsia="宋体" w:cs="Times New Roman"/>
          <w:color w:val="828282"/>
          <w:sz w:val="22"/>
        </w:rPr>
        <w:t>彭宇程  2026年7月28日</w:t>
      </w:r>
    </w:p>
    <w:p w14:paraId="549E6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" w:line="24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项目地址：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"https://github.com/DearDragon233/2026-SP"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DearDragon233/2026-SP: 平谷区冬小麦环境指纹矩阵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0A6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" w:line="240" w:lineRule="auto"/>
        <w:jc w:val="center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URL：</w:t>
      </w:r>
      <w:r>
        <w:rPr>
          <w:rFonts w:hint="eastAsia" w:cs="宋体"/>
          <w:i/>
          <w:iCs/>
          <w:sz w:val="24"/>
          <w:szCs w:val="24"/>
          <w:lang w:val="en-US" w:eastAsia="zh-CN"/>
        </w:rPr>
        <w:t>https://github.com/DearDragon233/2026-SP</w:t>
      </w:r>
    </w:p>
    <w:p w14:paraId="60052031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一、项目概述</w:t>
      </w:r>
    </w:p>
    <w:p w14:paraId="70E8EC90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本项目构建了一套机器学习框架，将环境指纹（涵盖气候、土壤、地形的全维度栅格变量）与多品种作物性状和管理情景相结合，实现产量预测与农艺措施优化</w:t>
      </w:r>
      <w:r>
        <w:rPr>
          <w:rFonts w:hint="default" w:ascii="Times New Roman" w:hAnsi="Times New Roman" w:eastAsia="宋体" w:cs="Times New Roman"/>
          <w:sz w:val="24"/>
        </w:rPr>
        <w:t>。研究区域为北京市平谷区（234个1 km网格），作物体系为冬小麦-夏玉米一年两熟轮作。</w:t>
      </w:r>
    </w:p>
    <w:p w14:paraId="060E71F5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核心创新在于从传统单点或单因子分析迈向空间显式、多维度的研究范式：环境指纹捕获每个网格的全谱生物物理条件，机器学习模型（XGBoost、随机森林、分位数随机森林）解析复杂的基因型×环境×管理（G×E×M）互作效应。模型解释借助SHAP值（Shapley加法解释）配合Bootstrap置信区间，同时提供机制洞察与不确定性量化。</w:t>
      </w:r>
    </w:p>
    <w:p w14:paraId="16F774EA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二、研究背景与知识缺口</w:t>
      </w:r>
    </w:p>
    <w:p w14:paraId="610B0EE7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作物产量预测长期依赖过程模型（如APSIM、DSSAT），这些模型参数化工作量大，且区域外推能力有限。机器学习提供了新路径：数据驱动的模型无需显式的生理方程即可捕获非线性G×E×M关系。但当前研究存在三个关键缺口：</w:t>
      </w:r>
    </w:p>
    <w:p w14:paraId="2B14C95E">
      <w:pPr>
        <w:pStyle w:val="16"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b/>
          <w:bCs/>
          <w:sz w:val="24"/>
        </w:rPr>
        <w:t>环境表征不足</w:t>
      </w:r>
      <w:r>
        <w:rPr>
          <w:rFonts w:hint="default" w:ascii="Times New Roman" w:hAnsi="Times New Roman" w:eastAsia="宋体" w:cs="Times New Roman"/>
          <w:sz w:val="24"/>
        </w:rPr>
        <w:t>：多数ML产量研究仅使用少数气候变量（如生长季均值温度、降水），丢失了极端事件、季节性信息和土壤约束信号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</w:p>
    <w:p w14:paraId="7FFD91B6">
      <w:pPr>
        <w:pStyle w:val="16"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b/>
          <w:bCs/>
          <w:sz w:val="24"/>
        </w:rPr>
        <w:t>不确定性量化缺失</w:t>
      </w:r>
      <w:r>
        <w:rPr>
          <w:rFonts w:hint="default" w:ascii="Times New Roman" w:hAnsi="Times New Roman" w:eastAsia="宋体" w:cs="Times New Roman"/>
          <w:sz w:val="24"/>
        </w:rPr>
        <w:t>：文献以点预测为主，鲜有报道预测区间与空间不确定性分布图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</w:p>
    <w:p w14:paraId="628DE14F">
      <w:pPr>
        <w:pStyle w:val="16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b/>
          <w:bCs/>
          <w:sz w:val="24"/>
        </w:rPr>
        <w:t>环境约束下的管理优化空白</w:t>
      </w:r>
      <w:r>
        <w:rPr>
          <w:rFonts w:hint="default" w:ascii="Times New Roman" w:hAnsi="Times New Roman" w:eastAsia="宋体" w:cs="Times New Roman"/>
          <w:sz w:val="24"/>
        </w:rPr>
        <w:t>：现有优化研究（如Xiao et al. 2024, Nature Food）使用区域聚合数据，尚未探索网格级、耦合环境指纹的多目标优化。</w:t>
      </w:r>
    </w:p>
    <w:p w14:paraId="437194C0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本研究同时针对以上三个缺口展开。</w:t>
      </w:r>
    </w:p>
    <w:p w14:paraId="051DA6D4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三、研究区域与轮作体系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2D8B0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B3923F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参数</w:t>
            </w:r>
          </w:p>
        </w:tc>
        <w:tc>
          <w:tcPr>
            <w:tcW w:w="45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707DEB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内容</w:t>
            </w:r>
          </w:p>
        </w:tc>
      </w:tr>
      <w:tr w14:paraId="3E5D6B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573987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研究区域</w:t>
            </w:r>
          </w:p>
        </w:tc>
        <w:tc>
          <w:tcPr>
            <w:tcW w:w="45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17AD2B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北京市平谷区（117.1°E, 40.1°N）</w:t>
            </w:r>
          </w:p>
        </w:tc>
      </w:tr>
      <w:tr w14:paraId="1DAAED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D8AB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网格分辨率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59C4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 km × 1 km，共234个网格</w:t>
            </w:r>
          </w:p>
        </w:tc>
      </w:tr>
      <w:tr w14:paraId="108E79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FAC4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轮作体系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5216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冬小麦（10月-次年6月）-夏玉米（6月-10月）一年两熟</w:t>
            </w:r>
          </w:p>
        </w:tc>
      </w:tr>
      <w:tr w14:paraId="55A07D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DB73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气候特征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2F2F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暖温带季风气候；年均温11-12°C；年降水600-650 mm</w:t>
            </w:r>
          </w:p>
        </w:tc>
      </w:tr>
      <w:tr w14:paraId="26B92D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BCFD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冬小麦品种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4F00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8个品种（京冬8号/12号/17号/22号，中麦175/1062，轮选987/169）</w:t>
            </w:r>
          </w:p>
        </w:tc>
      </w:tr>
      <w:tr w14:paraId="665ECB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C594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夏玉米品种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ABCA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8个品种（文献和审定公告已提取）</w:t>
            </w:r>
          </w:p>
        </w:tc>
      </w:tr>
      <w:tr w14:paraId="100D03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C554BA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管理数据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9502D9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自主设计14情景 + Xiao et al.(2024) 公开数据集（CC BY 4.0）</w:t>
            </w:r>
          </w:p>
        </w:tc>
      </w:tr>
    </w:tbl>
    <w:p w14:paraId="698D5E9D">
      <w:pPr>
        <w:rPr>
          <w:rFonts w:hint="default" w:ascii="Times New Roman" w:hAnsi="Times New Roman" w:eastAsia="宋体" w:cs="Times New Roman"/>
        </w:rPr>
      </w:pPr>
    </w:p>
    <w:p w14:paraId="46337E61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四、数据清单</w:t>
      </w:r>
    </w:p>
    <w:p w14:paraId="57F83400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4.1 环境指纹矩阵</w:t>
      </w:r>
    </w:p>
    <w:p w14:paraId="7DBDB8BA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核心数据为234×73矩阵（Outputs/pinggu_environmental_data.csv），每行代表1个1 km网格，每列代表1个环境变量。数据缺失率0.3%（仅地形衍生变量3列边缘网格），可建模变量71/73（97%）。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745"/>
        <w:gridCol w:w="2433"/>
        <w:gridCol w:w="1694"/>
        <w:gridCol w:w="1729"/>
      </w:tblGrid>
      <w:tr w14:paraId="0B5884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B95FDF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类别</w:t>
            </w:r>
          </w:p>
        </w:tc>
        <w:tc>
          <w:tcPr>
            <w:tcW w:w="181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BFD343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数据源</w:t>
            </w:r>
          </w:p>
        </w:tc>
        <w:tc>
          <w:tcPr>
            <w:tcW w:w="181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EA1D16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变量数</w:t>
            </w:r>
          </w:p>
        </w:tc>
        <w:tc>
          <w:tcPr>
            <w:tcW w:w="181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81C5EB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分辨率</w:t>
            </w:r>
          </w:p>
        </w:tc>
        <w:tc>
          <w:tcPr>
            <w:tcW w:w="181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1F1A8A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状态</w:t>
            </w:r>
          </w:p>
        </w:tc>
      </w:tr>
      <w:tr w14:paraId="760B8C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D5DC35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生物气候变量</w:t>
            </w:r>
          </w:p>
        </w:tc>
        <w:tc>
          <w:tcPr>
            <w:tcW w:w="181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670E07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WorldClim 2.1</w:t>
            </w:r>
          </w:p>
        </w:tc>
        <w:tc>
          <w:tcPr>
            <w:tcW w:w="181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760A44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19（bio1-bio19）</w:t>
            </w:r>
          </w:p>
        </w:tc>
        <w:tc>
          <w:tcPr>
            <w:tcW w:w="181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EA47D6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2.5 arc-min</w:t>
            </w:r>
          </w:p>
        </w:tc>
        <w:tc>
          <w:tcPr>
            <w:tcW w:w="181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452ABB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74A557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F752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逐月平均温度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FF6C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WorldClim 2.1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F5E7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12（tavg 01-12）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56B8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2.5 arc-min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D8BF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260EFA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964E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逐月降水量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15C2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WorldClim 2.1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EA61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12（prec 01-12）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DEE3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2.5 arc-min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09CC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068CD5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BD47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土壤属性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E6D8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SoilGrids 2.0 (ISRIC)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53C6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8（砂/粉/黏/有机碳/全氮/pH/容重/阳离子交换量，0-5cm）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6898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250 m→5 km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EDDA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2744BF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CEB0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地形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8A6A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SRTM 90m (CGIAR-CSI)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1CEB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3（海拔、坡度、坡向）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EE0E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90 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915C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0F6BE3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415A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生长度日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E0F9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派生计算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7421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6（GDD0/5/10/15/20/25）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17A2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 km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6591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从tavg重新生成</w:t>
            </w:r>
          </w:p>
        </w:tc>
      </w:tr>
      <w:tr w14:paraId="26E380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9745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土壤水分常数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42BF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派生计算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92F2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3（SAT、DUL、LL15）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D058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 km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9C53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从SoilGrids重新生成</w:t>
            </w:r>
          </w:p>
        </w:tc>
      </w:tr>
      <w:tr w14:paraId="06AB0D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8BDB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品种性状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9EA8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文献+审定公告提取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345C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8小麦×8性状；8玉米×9性状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5A9C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品种级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9BCF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38FAE9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B652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管理情景（自主）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1E88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自主设计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09ED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14情景（N×灌溉×密度）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F99B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网格级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9395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5E194B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3B9BC4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管理数据（外部）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108F4D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Xiao et al.(2024) Figshare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6559AC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4文件（施氮、灌溉、产量；基准期+SSP情景）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85DD2B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 km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25B702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已就绪（CC BY 4.0）</w:t>
            </w:r>
          </w:p>
        </w:tc>
      </w:tr>
    </w:tbl>
    <w:p w14:paraId="4E930F1B">
      <w:pPr>
        <w:rPr>
          <w:rFonts w:hint="default" w:ascii="Times New Roman" w:hAnsi="Times New Roman" w:eastAsia="宋体" w:cs="Times New Roman"/>
        </w:rPr>
      </w:pPr>
    </w:p>
    <w:p w14:paraId="1BF492AE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4.2 管理数据：互补双来源</w:t>
      </w:r>
    </w:p>
    <w:p w14:paraId="2A0BE4AE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来源一（自主设计）：14个管理情景，组合施氮量（0/150/300 kg ha⁻¹）、灌水量（0/200/400 mm）和播期密度变化，通过management_grid_default.csv应用于全部234网格。设计参考Chen et al.(2014) Nature及Bai et al.(2024) Nature Food 5:148-159。</w:t>
      </w:r>
    </w:p>
    <w:p w14:paraId="3C9CEC21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来源二（公开数据）：Xiao et al.(2024)"Spatiotemporal co-optimization of agricultural management practices"（Nature Food 5:59-71）。数据集从Figshare下载（DOI: 10.6084/m9.figshare.24471919.v5，CC BY 4.0许可）。包含小麦和玉米的优化施氮量、灌溉量和产量图，覆盖三个时段（基准期、2030s、2060s），分SSP2-4.5和SSP5-8.5两种情景。已下载4个关键文件（共61 MB）；主数据文件Allregions.rds（57.3 MB）需用R语言转CSV。</w:t>
      </w:r>
    </w:p>
    <w:p w14:paraId="5FD7CF26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五、分析方法管线</w:t>
      </w:r>
    </w:p>
    <w:p w14:paraId="56206322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5.1 特征工程（R1阶段 + S1审计）</w:t>
      </w:r>
    </w:p>
    <w:p w14:paraId="23CAA997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73变量环境指纹矩阵将按五步流程进行系统特征工程：（1）数据清洗（异常值处理、缺失值填补）；（2）特征构建（交互项、植被指数等）；（3）维度评估（PCA、方差膨胀因子）；（4）特征筛选（Boruta、基于SHAP的递归特征消除）；（5）敏感性分析（单变量扰动）。</w:t>
      </w:r>
    </w:p>
    <w:p w14:paraId="2E25A154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特征审计员S1使用替代方法（如互信息法对照Boruta）独立验证R1输出，发现差异提交讨论后再进入建模阶段。</w:t>
      </w:r>
    </w:p>
    <w:p w14:paraId="11C01526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5.2 建模（R2阶段 + S2审计）</w:t>
      </w:r>
    </w:p>
    <w:p w14:paraId="487D3144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建模管线遵循渐进复杂度策略：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03123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9C936C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步骤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53D646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方法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EBBFBA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目的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64DB57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预期产出</w:t>
            </w:r>
          </w:p>
        </w:tc>
      </w:tr>
      <w:tr w14:paraId="0C21343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4B3F11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 基线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C20560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多元线性回归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633F18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建立性能下限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8B44EF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R²、RMSE基线值</w:t>
            </w:r>
          </w:p>
        </w:tc>
      </w:tr>
      <w:tr w14:paraId="55103A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EC2D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2 集成树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75BD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随机森林（Breiman 2001）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2B36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稳健非线性基线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D2DB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特征重要性排序</w:t>
            </w:r>
          </w:p>
        </w:tc>
      </w:tr>
      <w:tr w14:paraId="14E9DEE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57BF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3 梯度提升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1755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XGBoost（Chen &amp; Guestrin 2016）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D6B8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结构化数据最优模型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8569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Optuna优化后的最佳参数</w:t>
            </w:r>
          </w:p>
        </w:tc>
      </w:tr>
      <w:tr w14:paraId="5AA670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5BD5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4 超参调优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1848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Optuna（Akiba et al. 2019）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1802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贝叶斯优化XGBoost参数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8741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最优试验+参数空间分布图</w:t>
            </w:r>
          </w:p>
        </w:tc>
      </w:tr>
      <w:tr w14:paraId="18D7A9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2013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5 不确定性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8942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分位数随机森林（Meinshausen 2006）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DEBF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每网格90%预测区间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6216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空间不确定性分布图</w:t>
            </w:r>
          </w:p>
        </w:tc>
      </w:tr>
      <w:tr w14:paraId="623507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AAAAAF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6 多目标优化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338A51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NSGA-II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49BF1D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产量-施氮量Pareto前沿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D06F5A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最优管理组合方案</w:t>
            </w:r>
          </w:p>
        </w:tc>
      </w:tr>
    </w:tbl>
    <w:p w14:paraId="1E47F14F">
      <w:pPr>
        <w:rPr>
          <w:rFonts w:hint="default" w:ascii="Times New Roman" w:hAnsi="Times New Roman" w:eastAsia="宋体" w:cs="Times New Roman"/>
        </w:rPr>
      </w:pPr>
    </w:p>
    <w:p w14:paraId="23224281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模型验证采用空间交叉验证（分块k-fold, k=5-10），防止空间自相关虚增性能评估。审计员S2通过置换检验、残差空间自相关分析（Moran's I）和超参扰动敏感性检验独立验证模型稳健性。</w:t>
      </w:r>
    </w:p>
    <w:p w14:paraId="194035BA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5.3 模型解释（R3阶段）</w:t>
      </w:r>
    </w:p>
    <w:p w14:paraId="7C1DE3BA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SHAP值（Lundberg &amp; Lee 2017）将每个预测分解为各特征的加性贡献。核心分析包括：（1）全局特征重要性排序及Bootstrap 95%置信区间；（2）前8-10位特征的SHAP依赖图；（3）SHAP交互值检测非加性G×E效应；（4）SHAP值空间映射，识别各环境因子在何处主导产量限制；（5）构建环境效应相似性指数（EESI），为品种布局推荐提供依据。</w:t>
      </w:r>
    </w:p>
    <w:p w14:paraId="79E9D9C8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5.4 因果推断（可选扩展）</w:t>
      </w:r>
    </w:p>
    <w:p w14:paraId="7430909F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若时间允许，将PCMCI算法（Runge et al. 2019）应用于环境指纹时间序列，区分直接因果驱动与间接相关关系，增强SHAP结果的机制解释力。</w:t>
      </w:r>
    </w:p>
    <w:p w14:paraId="5350E974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六、创新点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790F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4CA9AD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优先级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734684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创新点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5FFC63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新颖性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6F245B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可行性</w:t>
            </w:r>
          </w:p>
        </w:tc>
      </w:tr>
      <w:tr w14:paraId="1BA51A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7CA1C3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P0 必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5727A5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动态环境指纹：73变量全维度网格化表征替代传统少数气候变量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43DD4F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华北平原1 km分辨率全谱环境指纹的首次应用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61D8F0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数据已编译完成</w:t>
            </w:r>
          </w:p>
        </w:tc>
      </w:tr>
      <w:tr w14:paraId="0B24B0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4220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P0 必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235E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空间CV+不确定性：分块k-fold交叉验证+QRF预测区间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52B1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针对性解决农业ML中普遍的空间自相关虚增问题，提供逐网格置信度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4A90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scikit-learn已有现成工具</w:t>
            </w:r>
          </w:p>
        </w:tc>
      </w:tr>
      <w:tr w14:paraId="4E5823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7550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 xml:space="preserve">P1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DC9E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SHAP交互值G×E×M分解+Bootstrap置信区间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65BA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将SHAP从点估计推向统计推断，结果农学家可直接解读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D6A2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Python shap库/R shapr包支持</w:t>
            </w:r>
          </w:p>
        </w:tc>
      </w:tr>
      <w:tr w14:paraId="2B2B104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C34D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 xml:space="preserve">P1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6027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环境效应相似性指数（EESI）：品种推荐分区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D1BA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将黑箱模型输出转化为可操作的农艺决策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6504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概念可行，待实现</w:t>
            </w:r>
          </w:p>
        </w:tc>
      </w:tr>
      <w:tr w14:paraId="31C4A3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CC27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 xml:space="preserve">P2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8943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PCMCI因果结构学习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8BA7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量化环境因子的直接vs间接效应，农业ML中罕见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2AF7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算法已公开，取决于时间</w:t>
            </w:r>
          </w:p>
        </w:tc>
      </w:tr>
      <w:tr w14:paraId="4A8FC2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5FD99F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 xml:space="preserve">P2 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9545E7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NSGA-II多目标优化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71C5BF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网格级管理方案组合，平衡产量与氮投入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543796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pymoo/deap库支持</w:t>
            </w:r>
          </w:p>
        </w:tc>
      </w:tr>
    </w:tbl>
    <w:p w14:paraId="17A2674C">
      <w:pPr>
        <w:rPr>
          <w:rFonts w:hint="default" w:ascii="Times New Roman" w:hAnsi="Times New Roman" w:eastAsia="宋体" w:cs="Times New Roman"/>
        </w:rPr>
      </w:pPr>
    </w:p>
    <w:p w14:paraId="14848854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七、团队架构与工作流</w:t>
      </w:r>
    </w:p>
    <w:p w14:paraId="5437F49C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我们预期</w:t>
      </w:r>
      <w:r>
        <w:rPr>
          <w:rFonts w:hint="default" w:ascii="Times New Roman" w:hAnsi="Times New Roman" w:eastAsia="宋体" w:cs="Times New Roman"/>
          <w:sz w:val="24"/>
        </w:rPr>
        <w:t>项目采用双轨验证架构（3R+5S，v4定稿）。三条主线角色（R1-R3）执行核心管线；两条审计角色（S1-S2）独立验证各阶段；一项写作角色（S4）贯穿始终；两项可视化角色（S5-S6）负责全部图表。每个主线产出均经审计交叉验证后方可进入下一阶段。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97"/>
        <w:gridCol w:w="2690"/>
        <w:gridCol w:w="2218"/>
      </w:tblGrid>
      <w:tr w14:paraId="67D99B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0BC6CC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代号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4AB031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角色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06E091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职责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E7259F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核心交付物</w:t>
            </w:r>
          </w:p>
        </w:tc>
      </w:tr>
      <w:tr w14:paraId="53986C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EBDC2E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R1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0571F0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特征工程架构师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CA5B79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数据清洗→特征构建→降维→筛选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247586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最终特征矩阵（234×k）</w:t>
            </w:r>
          </w:p>
        </w:tc>
      </w:tr>
      <w:tr w14:paraId="1A7F41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4F82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EF42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特征审计员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3B46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使用替代方法独立验证R1输出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25F4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审计报告+核准特征集</w:t>
            </w:r>
          </w:p>
        </w:tc>
      </w:tr>
      <w:tr w14:paraId="0B96D0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7375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6E8E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建模与优化工程师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090A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基线模型→集成→XGBoost→QRF→NSGA-II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0614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训练模型+预测结果+Pareto前沿</w:t>
            </w:r>
          </w:p>
        </w:tc>
      </w:tr>
      <w:tr w14:paraId="6DD6EC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C8B2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10C1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模型验证员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CA3A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空间CV+置换检验+Moran's I审计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8B52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验证报告+核准模型</w:t>
            </w:r>
          </w:p>
        </w:tc>
      </w:tr>
      <w:tr w14:paraId="3A3578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2D60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B514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SHAP解释工程师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80C4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SHAP分析+Bootstrap置信区间+EESI构建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CCA5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SHAP分析包+解读报告</w:t>
            </w:r>
          </w:p>
        </w:tc>
      </w:tr>
      <w:tr w14:paraId="2C094B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58F7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6F37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论文撰写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4E33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全程同步撰写（持续产出）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3CA4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论文初稿（目标期刊：JIA）</w:t>
            </w:r>
          </w:p>
        </w:tc>
      </w:tr>
      <w:tr w14:paraId="06963F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DF87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867F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主体图设计师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4A31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1-7全流程制作（600 DPI TIFF）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92AA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7张正文图表</w:t>
            </w:r>
          </w:p>
        </w:tc>
      </w:tr>
      <w:tr w14:paraId="285006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494082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S6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39BD06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附录图设计师+规范管理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1A2A0B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S1-S12制作（300 DPI PNG）；维护风格表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31D29A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12张附图+matplotlib风格文件</w:t>
            </w:r>
          </w:p>
        </w:tc>
      </w:tr>
    </w:tbl>
    <w:p w14:paraId="0D2831DA">
      <w:pPr>
        <w:rPr>
          <w:rFonts w:hint="default" w:ascii="Times New Roman" w:hAnsi="Times New Roman" w:eastAsia="宋体" w:cs="Times New Roman"/>
        </w:rPr>
      </w:pPr>
    </w:p>
    <w:p w14:paraId="468B5CBE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预计工期：17个工作日（约3.5个自然周），含迭代与审阅缓冲。</w:t>
      </w:r>
    </w:p>
    <w:p w14:paraId="267A9B8E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7.1 数据流</w:t>
      </w:r>
    </w:p>
    <w:p w14:paraId="2DB7E1A6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源数据位于Data/目录（WorldClim、SoilGrids、SRTM、Variety、Management）。特征工程脚本在src/r1_feature_engineering/中运行，读取Data/数据并将中间产出写入Outputs/intermediate/。建模脚本在src/r2_modeling/中读取特征矩阵，训练模型并保存.pkl文件至Outputs/models/。解释脚本在src/r3_shap_interpretation/中加载模型并输出SHAP结果。全项目图表统一使用config/style_2026sp.mplstyle风格文件，主体图输出至Outputs/figures/main/（S5），附录图输出至Outputs/figures/supp/（S6）。</w:t>
      </w:r>
    </w:p>
    <w:p w14:paraId="0EF81AFD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八、预期成果</w:t>
      </w:r>
    </w:p>
    <w:p w14:paraId="779ED627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8.1 学术产出</w:t>
      </w:r>
    </w:p>
    <w:p w14:paraId="353EFA43">
      <w:pPr>
        <w:pStyle w:val="16"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  <w:t>1）</w:t>
      </w:r>
      <w:r>
        <w:rPr>
          <w:rFonts w:hint="default" w:ascii="Times New Roman" w:hAnsi="Times New Roman" w:eastAsia="宋体" w:cs="Times New Roman"/>
          <w:sz w:val="24"/>
        </w:rPr>
        <w:t>一个经过验证的、可解释的网格化产量预测与管理优化ML框架，可推广至其他区域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</w:p>
    <w:p w14:paraId="4BB5B270">
      <w:pPr>
        <w:pStyle w:val="16"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  <w:t>2）</w:t>
      </w:r>
      <w:r>
        <w:rPr>
          <w:rFonts w:hint="default" w:ascii="Times New Roman" w:hAnsi="Times New Roman" w:eastAsia="宋体" w:cs="Times New Roman"/>
          <w:sz w:val="24"/>
        </w:rPr>
        <w:t>开源代码库（GitHub: github.com/DearDragon233/2026-SP），按角色模块组织全部分析脚本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</w:p>
    <w:p w14:paraId="1FA5B096">
      <w:pPr>
        <w:pStyle w:val="1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  <w:t>3）（尝试）完成</w:t>
      </w:r>
      <w:r>
        <w:rPr>
          <w:rFonts w:hint="default" w:ascii="Times New Roman" w:hAnsi="Times New Roman" w:eastAsia="宋体" w:cs="Times New Roman"/>
          <w:sz w:val="24"/>
        </w:rPr>
        <w:t>一篇论文</w:t>
      </w:r>
      <w:r>
        <w:rPr>
          <w:rFonts w:hint="eastAsia" w:ascii="Times New Roman" w:hAnsi="Times New Roman" w:cs="Times New Roman"/>
          <w:sz w:val="24"/>
          <w:lang w:eastAsia="zh-CN"/>
        </w:rPr>
        <w:t>。</w:t>
      </w:r>
      <w:r>
        <w:rPr>
          <w:rFonts w:hint="eastAsia" w:ascii="Times New Roman" w:hAnsi="Times New Roman" w:cs="Times New Roman"/>
          <w:sz w:val="24"/>
          <w:lang w:val="en-US" w:eastAsia="zh-CN"/>
        </w:rPr>
        <w:t>*如果发表，AI的建议</w:t>
      </w:r>
      <w:r>
        <w:rPr>
          <w:rFonts w:hint="default" w:ascii="Times New Roman" w:hAnsi="Times New Roman" w:eastAsia="宋体" w:cs="Times New Roman"/>
          <w:sz w:val="24"/>
        </w:rPr>
        <w:t>目标期刊</w:t>
      </w:r>
      <w:r>
        <w:rPr>
          <w:rFonts w:hint="eastAsia" w:ascii="Times New Roman" w:hAnsi="Times New Roman" w:cs="Times New Roman"/>
          <w:sz w:val="24"/>
          <w:lang w:eastAsia="zh-CN"/>
        </w:rPr>
        <w:t>是</w:t>
      </w:r>
      <w:r>
        <w:rPr>
          <w:rFonts w:hint="default" w:ascii="Times New Roman" w:hAnsi="Times New Roman" w:eastAsia="宋体" w:cs="Times New Roman"/>
          <w:sz w:val="24"/>
        </w:rPr>
        <w:t>Journal of Integrative Agriculture（JIA，IF约4.0），备选Agronomy-Basel或PeerJ。</w:t>
      </w:r>
    </w:p>
    <w:p w14:paraId="3D789D57">
      <w:pPr>
        <w:pStyle w:val="16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4"/>
        </w:rPr>
      </w:pPr>
    </w:p>
    <w:p w14:paraId="3CD0883F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8.2 图表产出（共19张）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25AC5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0F9B43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编号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132AF4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内容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B0C92B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类型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53C8E1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制作</w:t>
            </w:r>
          </w:p>
        </w:tc>
      </w:tr>
      <w:tr w14:paraId="06E68F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C3BF4D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1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10C994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研究区域总览+环境指纹设计示意图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A8F2B0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总览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895AFE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210D02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25DA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EB84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特征重要性排序+Bootstrap 95%置信区间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A2E5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方法/结果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8A7D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41295C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261C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A494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模型性能对比（5种模型，空间CV）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D65B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999A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0B850B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733B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21A2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空间产量预测图+QRF不确定性分布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EDB6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8798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1ECD3E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DF54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46781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SHAP摘要+前8位特征依赖图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1274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BD68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57416A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6BFE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60C5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SHAP交互热力图+G×E效应分解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83342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15CB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019AC7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5AA9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37B6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NSGA-II Pareto前沿+优化管理方案组合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42E4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结果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0A2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</w:t>
            </w:r>
          </w:p>
        </w:tc>
      </w:tr>
      <w:tr w14:paraId="4C5D4D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8ECA7E3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Fig S1-S12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545DD6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数据诊断、敏感性分析、补充地图等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CB79AA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附录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83FC12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S6</w:t>
            </w:r>
          </w:p>
        </w:tc>
      </w:tr>
    </w:tbl>
    <w:p w14:paraId="7FF2068F">
      <w:pPr>
        <w:rPr>
          <w:rFonts w:hint="default" w:ascii="Times New Roman" w:hAnsi="Times New Roman" w:eastAsia="宋体" w:cs="Times New Roman"/>
        </w:rPr>
      </w:pPr>
    </w:p>
    <w:p w14:paraId="6A2F7604">
      <w:pPr>
        <w:spacing w:before="240" w:after="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8.3 数据产品</w:t>
      </w:r>
    </w:p>
    <w:p w14:paraId="4C39FB0D">
      <w:pPr>
        <w:pStyle w:val="16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  <w:t>1）</w:t>
      </w:r>
      <w:r>
        <w:rPr>
          <w:rFonts w:hint="default" w:ascii="Times New Roman" w:hAnsi="Times New Roman" w:eastAsia="宋体" w:cs="Times New Roman"/>
          <w:sz w:val="24"/>
        </w:rPr>
        <w:t>清洗后的环境指纹矩阵（234网格×k特征）。</w:t>
      </w:r>
    </w:p>
    <w:p w14:paraId="7AD1B0ED">
      <w:pPr>
        <w:pStyle w:val="16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ab/>
        <w:t>2）</w:t>
      </w:r>
      <w:r>
        <w:rPr>
          <w:rFonts w:hint="default" w:ascii="Times New Roman" w:hAnsi="Times New Roman" w:eastAsia="宋体" w:cs="Times New Roman"/>
          <w:sz w:val="24"/>
        </w:rPr>
        <w:t>训练模型checkpoint文件（.pkl），确保结果可复现。</w:t>
      </w:r>
    </w:p>
    <w:p w14:paraId="3850E09A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九、核心参考文献</w:t>
      </w:r>
    </w:p>
    <w:p w14:paraId="57B0E69F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全文精读指南（34篇文献，含详细阅读笔记）。核心方法学文献如下：</w:t>
      </w:r>
    </w:p>
    <w:p w14:paraId="417EB68B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陈天奇, Guestrin C. 2016. XGBoost: 可扩展的树提升系统. KDD 2016. arXiv:1603.02754.</w:t>
      </w:r>
    </w:p>
    <w:p w14:paraId="308BD681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Lundberg SM, Lee SI. 2017. 模型预测的统一解释方法. NeurIPS 2017. arXiv:1705.07874.</w:t>
      </w:r>
    </w:p>
    <w:p w14:paraId="27C8AA12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Breiman L. 2001. 随机森林. Machine Learning 45(1):5-32.</w:t>
      </w:r>
    </w:p>
    <w:p w14:paraId="02E8FE8D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Meinshausen N. 2006. 分位数回归森林. Journal of Machine Learning Research 7:983-999.</w:t>
      </w:r>
    </w:p>
    <w:p w14:paraId="27E1C984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Shahhosseini M等. 2021. 机器学习与作物模型耦合. Agricultural and Forest Meteorology 307:108486.</w:t>
      </w:r>
    </w:p>
    <w:p w14:paraId="061152C5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Xiao L等. 2024. 农业管理措施的时空协同优化. Nature Food 5:59-71. [数据: Figshare, CC BY 4.0]</w:t>
      </w:r>
    </w:p>
    <w:p w14:paraId="3946BB15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Bai S等. 2024. 作物产量预测的环境指纹方法. Nature Food 5:148-159.</w:t>
      </w:r>
    </w:p>
    <w:p w14:paraId="2C718C59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Runge J等. 2019. 大规模时间序列因果关联的检测与量化. Science Advances 5:eaau4996.</w:t>
      </w:r>
    </w:p>
    <w:p w14:paraId="68DDDAA2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Akiba T等. 2019. Optuna: 新一代超参数优化框架. KDD 2019. arXiv:1907.10902.</w:t>
      </w:r>
    </w:p>
    <w:p w14:paraId="7F43ED08">
      <w:pPr>
        <w:spacing w:line="360" w:lineRule="auto"/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何中虎等. 2010. 中麦175高产高效广适特性解析. 中国农业科学 43(3):459-467.</w:t>
      </w:r>
    </w:p>
    <w:p w14:paraId="309A522A">
      <w:pPr>
        <w:pBdr>
          <w:bottom w:val="single" w:color="333333" w:sz="4" w:space="4"/>
        </w:pBdr>
        <w:spacing w:before="360" w:after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十、当前状态与下一步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850418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FE91416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事项</w:t>
            </w:r>
          </w:p>
        </w:tc>
        <w:tc>
          <w:tcPr>
            <w:tcW w:w="45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AF41B5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1"/>
                <w:szCs w:val="28"/>
              </w:rPr>
              <w:t>状态</w:t>
            </w:r>
          </w:p>
        </w:tc>
      </w:tr>
      <w:tr w14:paraId="769CFA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4BE682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环境指纹CSV（234×73）</w:t>
            </w:r>
          </w:p>
        </w:tc>
        <w:tc>
          <w:tcPr>
            <w:tcW w:w="45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11CC75F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386270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3B78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品种性状数据（8小麦+8玉米）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2DFA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6FA586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1640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管理情景（14自主+Xiao 2024公开数据）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0947C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2EE11A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F5E3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参考文献PDF（10篇OA论文，17 MB）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39D74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3E9D92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E62CE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项目管理文档（9 PDF+2 MD）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D351B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544D62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55388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GitHub仓库结构（src/模块化+Outputs/子文件夹）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16B60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已就绪</w:t>
            </w:r>
          </w:p>
        </w:tc>
      </w:tr>
      <w:tr w14:paraId="2456D4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C273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R1：特征工程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E45A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待启动</w:t>
            </w:r>
          </w:p>
        </w:tc>
      </w:tr>
      <w:tr w14:paraId="64B0AB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E0119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S1：特征审计（与R1并行）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FA6CD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待启动</w:t>
            </w:r>
          </w:p>
        </w:tc>
      </w:tr>
      <w:tr w14:paraId="0A424B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A877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R2：建模管线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37A4A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待启动</w:t>
            </w:r>
          </w:p>
        </w:tc>
      </w:tr>
      <w:tr w14:paraId="417A91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F728DD7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S5/S6：图表制作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C0E1395">
            <w:pPr>
              <w:spacing w:before="20" w:after="20" w:line="276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1"/>
                <w:szCs w:val="28"/>
              </w:rPr>
              <w:t>待启动（可提前）</w:t>
            </w:r>
          </w:p>
        </w:tc>
      </w:tr>
    </w:tbl>
    <w:p w14:paraId="690DEC6E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D2D3A"/>
    <w:rsid w:val="0A553E45"/>
    <w:rsid w:val="1D750D86"/>
    <w:rsid w:val="30ED78A2"/>
    <w:rsid w:val="33662286"/>
    <w:rsid w:val="3711163C"/>
    <w:rsid w:val="3AD27368"/>
    <w:rsid w:val="3C1F03E3"/>
    <w:rsid w:val="4D8D225A"/>
    <w:rsid w:val="54F0598E"/>
    <w:rsid w:val="5BA31FE2"/>
    <w:rsid w:val="5FD3008D"/>
    <w:rsid w:val="69AA3132"/>
    <w:rsid w:val="72516841"/>
    <w:rsid w:val="7A48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3591</Words>
  <Characters>5523</Characters>
  <Lines>0</Lines>
  <Paragraphs>0</Paragraphs>
  <TotalTime>3</TotalTime>
  <ScaleCrop>false</ScaleCrop>
  <LinksUpToDate>false</LinksUpToDate>
  <CharactersWithSpaces>5797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池艺CharlieCharles</cp:lastModifiedBy>
  <dcterms:modified xsi:type="dcterms:W3CDTF">2026-07-28T11:34:01Z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eyJoZGlkIjoiZTVkYTVlOTc1YWM4NWM0Yjc4N2FmMTdlOTRkYzhjMGUiLCJ1c2VySWQiOiI0MjE2NzgyODMifQ==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3646A66FD41945CD841B375C3A86CB94_12</vt:lpwstr>
  </property>
</Properties>
</file>