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8324A"/>
          <w:sz w:val="46"/>
        </w:rPr>
        <w:t>方案 1：Transformer–PPO 端到端联合训练</w:t>
      </w:r>
    </w:p>
    <w:p>
      <w:pPr>
        <w:jc w:val="center"/>
      </w:pPr>
      <w:r>
        <w:rPr>
          <w:rFonts w:ascii="Noto Sans CJK SC" w:hAnsi="Noto Sans CJK SC" w:eastAsia="Noto Sans CJK SC"/>
          <w:b/>
          <w:color w:val="275D84"/>
          <w:sz w:val="30"/>
        </w:rPr>
        <w:t>面向人形机器人起身的 Latent Successor Segment 控制方案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sz w:val="23"/>
        </w:rPr>
        <w:t>核心目标：让 PPO 不再追踪具体参考动作帧，而是在真实动力学中追踪 Transformer 所定义的“下一段动作潜空间结构”。</w:t>
      </w:r>
    </w:p>
    <w:p>
      <w:pPr>
        <w:spacing w:before="840"/>
        <w:jc w:val="center"/>
      </w:pPr>
      <w:r>
        <w:rPr>
          <w:rFonts w:ascii="Noto Sans CJK SC" w:hAnsi="Noto Sans CJK SC" w:eastAsia="Noto Sans CJK SC"/>
          <w:color w:val="646464"/>
          <w:sz w:val="20"/>
        </w:rPr>
        <w:t>技术方案整理 · 2026-08-24</w:t>
      </w:r>
    </w:p>
    <w:p>
      <w:r>
        <w:br w:type="page"/>
      </w:r>
    </w:p>
    <w:p>
      <w:pPr>
        <w:pStyle w:val="Heading1"/>
      </w:pPr>
      <w:r>
        <w:t>1. 方案定位与核心假设</w:t>
      </w:r>
    </w:p>
    <w:p>
      <w:r>
        <w:rPr>
          <w:rFonts w:ascii="Noto Sans CJK SC" w:hAnsi="Noto Sans CJK SC" w:eastAsia="Noto Sans CJK SC"/>
          <w:sz w:val="21"/>
        </w:rPr>
        <w:t>本方案将 Transformer 直接作为 PPO 策略的时序 Backbone，并采用联合目标对 Transformer 与 PPO 进行端到端优化。与逐帧动作模仿不同，策略追踪的对象是一个时间窗口对应的潜空间 successor segment。</w:t>
      </w:r>
    </w:p>
    <w:p>
      <w:r>
        <w:rPr>
          <w:rFonts w:ascii="Noto Sans CJK SC" w:hAnsi="Noto Sans CJK SC" w:eastAsia="Noto Sans CJK SC"/>
          <w:b/>
          <w:sz w:val="21"/>
        </w:rPr>
        <w:t>核心假设：</w:t>
      </w:r>
      <w:r>
        <w:rPr>
          <w:rFonts w:ascii="Noto Sans CJK SC" w:hAnsi="Noto Sans CJK SC" w:eastAsia="Noto Sans CJK SC"/>
          <w:sz w:val="21"/>
        </w:rPr>
        <w:t xml:space="preserve"> 起身动作的关键不是精确复现每一帧关节角，而是进入正确的支撑结构、重心转移状态和恢复阶段。只要 PPO 在物理环境中实现了正确的下一段结构，就允许具体关节轨迹、速度以及支撑持续时间与参考数据不同。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reference frame tracking  →  latent successor segment tracking</w:t>
      </w:r>
    </w:p>
    <w:p>
      <w:r>
        <w:rPr>
          <w:rFonts w:ascii="Noto Sans CJK SC" w:hAnsi="Noto Sans CJK SC" w:eastAsia="Noto Sans CJK SC"/>
          <w:sz w:val="21"/>
        </w:rPr>
        <w:t>可借鉴的直接先例是 LocoTransformer：Transformer 被直接嵌入强化学习策略并通过 RL 端到端训练，说明“Transformer 作为 policy backbone + PPO/RL”本身是可行的工程路线。</w:t>
      </w:r>
      <w:r>
        <w:rPr>
          <w:rFonts w:ascii="Noto Sans CJK SC" w:hAnsi="Noto Sans CJK SC" w:eastAsia="Noto Sans CJK SC"/>
          <w:color w:val="5A5A5A"/>
          <w:sz w:val="19"/>
        </w:rPr>
        <w:t xml:space="preserve"> 参考：LocoTransformer [1] </w:t>
      </w:r>
      <w:hyperlink r:id="rId9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</w:t>
        </w:r>
      </w:hyperlink>
      <w:r>
        <w:rPr>
          <w:rFonts w:ascii="Noto Sans CJK SC" w:hAnsi="Noto Sans CJK SC" w:eastAsia="Noto Sans CJK SC"/>
          <w:color w:val="5A5A5A"/>
          <w:sz w:val="19"/>
        </w:rPr>
        <w:t>；</w:t>
      </w:r>
      <w:hyperlink r:id="rId10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代码</w:t>
        </w:r>
      </w:hyperlink>
    </w:p>
    <w:p>
      <w:r>
        <w:rPr>
          <w:rFonts w:ascii="Noto Sans CJK SC" w:hAnsi="Noto Sans CJK SC" w:eastAsia="Noto Sans CJK SC"/>
          <w:sz w:val="21"/>
        </w:rPr>
        <w:t>StableMimic 提供了与本方案非常接近的“successor-state”训练思想：部署 Actor 不需要恢复参考轨迹、参考 ID 或 phase，但训练奖励利用隐藏的 successor state 约束恢复行为。本方案进一步将“下一参考状态”提升为“下一动作段 latent”。</w:t>
      </w:r>
      <w:r>
        <w:rPr>
          <w:rFonts w:ascii="Noto Sans CJK SC" w:hAnsi="Noto Sans CJK SC" w:eastAsia="Noto Sans CJK SC"/>
          <w:color w:val="5A5A5A"/>
          <w:sz w:val="19"/>
        </w:rPr>
        <w:t xml:space="preserve"> 参考：StableMimic [2] </w:t>
      </w:r>
      <w:hyperlink r:id="rId11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</w:t>
        </w:r>
      </w:hyperlink>
    </w:p>
    <w:p>
      <w:r>
        <w:rPr>
          <w:rFonts w:ascii="Noto Sans CJK SC" w:hAnsi="Noto Sans CJK SC" w:eastAsia="Noto Sans CJK SC"/>
          <w:sz w:val="21"/>
        </w:rPr>
        <w:t>HoloMotion-1 则说明大规模 Transformer 时序建模可以直接服务于 humanoid whole-body control，并强调 sequence-level training 与长序列时序建模的重要性。</w:t>
      </w:r>
      <w:r>
        <w:rPr>
          <w:rFonts w:ascii="Noto Sans CJK SC" w:hAnsi="Noto Sans CJK SC" w:eastAsia="Noto Sans CJK SC"/>
          <w:color w:val="5A5A5A"/>
          <w:sz w:val="19"/>
        </w:rPr>
        <w:t xml:space="preserve"> 参考：HoloMotion-1 [3] </w:t>
      </w:r>
      <w:hyperlink r:id="rId12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</w:t>
        </w:r>
      </w:hyperlink>
      <w:r>
        <w:rPr>
          <w:rFonts w:ascii="Noto Sans CJK SC" w:hAnsi="Noto Sans CJK SC" w:eastAsia="Noto Sans CJK SC"/>
          <w:color w:val="5A5A5A"/>
          <w:sz w:val="19"/>
        </w:rPr>
        <w:t>；</w:t>
      </w:r>
      <w:hyperlink r:id="rId13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代码</w:t>
        </w:r>
      </w:hyperlink>
    </w:p>
    <w:p>
      <w:pPr>
        <w:pStyle w:val="Heading1"/>
      </w:pPr>
      <w:r>
        <w:t>2. 数据定义与预处理</w:t>
      </w:r>
    </w:p>
    <w:p>
      <w:r>
        <w:rPr>
          <w:rFonts w:ascii="Noto Sans CJK SC" w:hAnsi="Noto Sans CJK SC" w:eastAsia="Noto Sans CJK SC"/>
          <w:sz w:val="21"/>
        </w:rPr>
        <w:t>现有数据为从 LAFAN 派生并重定向至 G1 的 CSV 起身数据，包含根节点位置/速度与关节状态，并具有 support_start 与 support_end 标注。support_end 的统一语义为：支撑手离地，只剩双脚支撑。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建议的数据语义划分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A. support_start 前：若存在，用于建模“进入支撑”的前置状态；大量样本 support_start = start_frame 不构成问题。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B. support_start → support_end：核心 recovery-support 区间，作为 Transformer 时序建模与 latent successor 训练的重点。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C. support_end 之后：保留 0.3–0.8 s 左右的姿态收敛区间，使轨迹最终落到统一站立吸引域；长时间跑动尾段不进入 recovery 数据。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D. 仅支撑而未完成站立的数据：可参与 Transformer 的局部结构学习，但不作为完整 start→stand 轨迹的主要目标样本。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sz w:val="21"/>
        </w:rPr>
        <w:t>为了避免不同动作持续时间造成的时序错位，训练单位建议从“整条 CSV”改为固定长度窗口。例如过去 H_p=10–20 帧编码当前结构，未来 H_f=10–30 帧定义下一动作段目标。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Xᵖ_t = [x_{t-Hp+1}, …, x_t]      Xᶠ_t = [x_{t+1}, …, x_{t+Hf}]</w:t>
      </w:r>
    </w:p>
    <w:p>
      <w:pPr>
        <w:pStyle w:val="Heading1"/>
      </w:pPr>
      <w:r>
        <w:t>3. 网络总体结构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端到端结构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Robot history s[t-H:t] → Transformer temporal backbone → z_current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z_current + proprioception + command → Actor head → action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Transformer feature / privileged critic feature → Critic head → V(s)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IsaacLab dynamics → future robot segment → target/EMA Transformer → z_robot_next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Reference future segment / later Diffusion output → z_target_next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PPO reward includes latent successor consistency + recovery task reward + terminal pose reward + physical penalties.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sz w:val="21"/>
        </w:rPr>
        <w:t>在线 Transformer 记为 E_θ，用于 Actor/Critic 的可学习 backbone；同时维护一个 EMA target Transformer E_θ̄，用于计算稳定的 latent target 和 rollout latent。EMA 分支不是冻结版第二套策略，而是 E_θ 的指数滑动平均，用来防止 reward 坐标系随着每次 PPO update 快速漂移。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θ̄ ← m·θ̄ + (1−m)·θ,      m ≈ 0.99–0.999</w:t>
      </w:r>
    </w:p>
    <w:p>
      <w:pPr>
        <w:pStyle w:val="Heading1"/>
      </w:pPr>
      <w:r>
        <w:t>4. Transformer 要学习的 latent 内容</w:t>
      </w:r>
    </w:p>
    <w:p>
      <w:r>
        <w:rPr>
          <w:rFonts w:ascii="Noto Sans CJK SC" w:hAnsi="Noto Sans CJK SC" w:eastAsia="Noto Sans CJK SC"/>
          <w:sz w:val="21"/>
        </w:rPr>
        <w:t>latent z 不应只压缩 joint pose，而应尽量成为“起身结构状态”。建议输入采用机器人自身可观测状态与可由 FK 得到的结构量：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关节位置 q、关节速度 q̇；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root orientation、root angular velocity、root linear velocity；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root height 与 height trend；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手、脚、膝等关键 body 相对 root 的位置/速度；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可选的弱接触特征（例如关键 body 高度与速度推断出的 support score）；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训练期 support phase 辅助标签，但部署时不直接输入人工 phase。</w:t>
      </w:r>
    </w:p>
    <w:p>
      <w:r>
        <w:rPr>
          <w:rFonts w:ascii="Noto Sans CJK SC" w:hAnsi="Noto Sans CJK SC" w:eastAsia="Noto Sans CJK SC"/>
          <w:sz w:val="21"/>
        </w:rPr>
        <w:t>推荐 latent 维度从 32 或 64 开始，而不是直接使用几百维 Transformer hidden state 作为控制目标。这样后续加入 Diffusion 时，生成对象是低维结构轨迹而不是高维关节轨迹。</w:t>
      </w:r>
    </w:p>
    <w:p>
      <w:pPr>
        <w:pStyle w:val="Heading1"/>
      </w:pPr>
      <w:r>
        <w:t>5. Transformer 的辅助任务</w:t>
      </w:r>
    </w:p>
    <w:p>
      <w:r>
        <w:rPr>
          <w:rFonts w:ascii="Noto Sans CJK SC" w:hAnsi="Noto Sans CJK SC" w:eastAsia="Noto Sans CJK SC"/>
          <w:sz w:val="21"/>
        </w:rPr>
        <w:t>为了避免 PPO 单一 return 把 Transformer 学成一个难以解释、甚至发生表征塌缩的策略特征，Transformer 应同时接受 motion-side 的辅助监督。</w:t>
      </w:r>
    </w:p>
    <w:p>
      <w:pPr>
        <w:pStyle w:val="Heading2"/>
      </w:pPr>
      <w:r>
        <w:t>5.1 Future-segment prediction</w:t>
      </w:r>
    </w:p>
    <w:p>
      <w:r>
        <w:rPr>
          <w:rFonts w:ascii="Noto Sans CJK SC" w:hAnsi="Noto Sans CJK SC" w:eastAsia="Noto Sans CJK SC"/>
          <w:sz w:val="21"/>
        </w:rPr>
        <w:t>由当前窗口预测未来一段动作的 latent，而不是预测下一帧关节角：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ẑ_next = F(E_θ(Xᵖ_t)),      L_future = ||ẑ_next − sg(E_θ̄(Xᶠ_t))||²</w:t>
      </w:r>
    </w:p>
    <w:p>
      <w:r>
        <w:rPr>
          <w:rFonts w:ascii="Noto Sans CJK SC" w:hAnsi="Noto Sans CJK SC" w:eastAsia="Noto Sans CJK SC"/>
          <w:sz w:val="21"/>
        </w:rPr>
        <w:t>sg(·) 表示 stop-gradient。这样 online encoder 被迫学习“当前结构如何过渡到下一段结构”，而 target encoder 不被该项反向修改。</w:t>
      </w:r>
    </w:p>
    <w:p>
      <w:pPr>
        <w:pStyle w:val="Heading2"/>
      </w:pPr>
      <w:r>
        <w:t>5.2 Support-phase prediction</w:t>
      </w:r>
    </w:p>
    <w:p>
      <w:r>
        <w:rPr>
          <w:rFonts w:ascii="Noto Sans CJK SC" w:hAnsi="Noto Sans CJK SC" w:eastAsia="Noto Sans CJK SC"/>
          <w:sz w:val="21"/>
        </w:rPr>
        <w:t>使用已有 support_start / support_end 标签，构造二值 support mask 或 recovery phase。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φ_t = clip((t − t_s)/(t_e − t_s), 0, 1)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L_phase = ||φ̂_t − φ_t||²      或      L_support = BCE(ĉ_t, c_t)</w:t>
      </w:r>
    </w:p>
    <w:p>
      <w:r>
        <w:rPr>
          <w:rFonts w:ascii="Noto Sans CJK SC" w:hAnsi="Noto Sans CJK SC" w:eastAsia="Noto Sans CJK SC"/>
          <w:sz w:val="21"/>
        </w:rPr>
        <w:t>这里的 phase 只是训练辅助目标，用于让 latent 具备方向性；真机执行时不需要外部 phase。</w:t>
      </w:r>
    </w:p>
    <w:p>
      <w:pPr>
        <w:pStyle w:val="Heading2"/>
      </w:pPr>
      <w:r>
        <w:t>5.3 Latent consistency / variance regularization</w:t>
      </w:r>
    </w:p>
    <w:p>
      <w:r>
        <w:rPr>
          <w:rFonts w:ascii="Noto Sans CJK SC" w:hAnsi="Noto Sans CJK SC" w:eastAsia="Noto Sans CJK SC"/>
          <w:sz w:val="21"/>
        </w:rPr>
        <w:t>为了防止所有状态被编码到同一点，建议对 batch 内 latent 保持最小方差或采用轻量对比/一致性约束。该项不是必须复杂化为完整自监督框架，但应作为防 collapse 的安全项。</w:t>
      </w:r>
    </w:p>
    <w:p>
      <w:pPr>
        <w:pStyle w:val="Heading1"/>
      </w:pPr>
      <w:r>
        <w:t>6. PPO 如何追踪“下一段 latent”</w:t>
      </w:r>
    </w:p>
    <w:p>
      <w:r>
        <w:rPr>
          <w:rFonts w:ascii="Noto Sans CJK SC" w:hAnsi="Noto Sans CJK SC" w:eastAsia="Noto Sans CJK SC"/>
          <w:sz w:val="21"/>
        </w:rPr>
        <w:t>关键区别是：PPO 不以每个控制周期的 q_ref(t+1) 为目标，而是在一个短 horizon Δ 内，让实际产生的物理动作段进入目标 latent 区域。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z_target = sg(E_θ̄(Xᶠ_ref))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z_robot = sg(E_θ̄(X_{t+1:t+Δ}^{robot}))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r_latent = exp(−α · d(z_robot, z_target)²)</w:t>
      </w:r>
    </w:p>
    <w:p>
      <w:r>
        <w:rPr>
          <w:rFonts w:ascii="Noto Sans CJK SC" w:hAnsi="Noto Sans CJK SC" w:eastAsia="Noto Sans CJK SC"/>
          <w:sz w:val="21"/>
        </w:rPr>
        <w:t>实际实现建议采用 chunk-level reward：每 K 个控制步形成一个实际 successor segment，计算一次 latent reward，再将该奖励分配到对应 chunk，或仅施加在 chunk 末端。这样不会退化为“每一步追一个 latent timestep”。</w:t>
      </w:r>
    </w:p>
    <w:p>
      <w:r>
        <w:rPr>
          <w:rFonts w:ascii="Noto Sans CJK SC" w:hAnsi="Noto Sans CJK SC" w:eastAsia="Noto Sans CJK SC"/>
          <w:sz w:val="21"/>
        </w:rPr>
        <w:t>进一步可使用 margin，使 PPO 进入一个 latent 邻域即可，而不是精确命中某个 latent 点：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r_latent = exp(−α · max(d(z_robot,z_target) − ε, 0)²)</w:t>
      </w:r>
    </w:p>
    <w:p>
      <w:pPr>
        <w:pStyle w:val="Heading1"/>
      </w:pPr>
      <w:r>
        <w:t>7. 统一终点 Pose Reward 的位置</w:t>
      </w:r>
    </w:p>
    <w:p>
      <w:r>
        <w:rPr>
          <w:rFonts w:ascii="Noto Sans CJK SC" w:hAnsi="Noto Sans CJK SC" w:eastAsia="Noto Sans CJK SC"/>
          <w:sz w:val="21"/>
        </w:rPr>
        <w:t>Pose Reward 应保留，但主要承担“最终收敛到统一站立姿态”的角色，而不是从倒地第一帧开始强制机器人向站姿复制。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r_pose = w_pose(s_t) · exp(−α_q||q_t−q_stand||² − α_R d(R_t,R_stand)²)</w:t>
      </w:r>
    </w:p>
    <w:p>
      <w:r>
        <w:rPr>
          <w:rFonts w:ascii="Noto Sans CJK SC" w:hAnsi="Noto Sans CJK SC" w:eastAsia="Noto Sans CJK SC"/>
          <w:sz w:val="21"/>
        </w:rPr>
        <w:t>建议 w_pose 随 upright、base height、双脚稳定支撑或预测 recovery phase 增大。早期支撑阶段 w_pose 较低，接近 support_end 与稳定站立时逐渐升高。</w:t>
      </w:r>
    </w:p>
    <w:p>
      <w:pPr>
        <w:pStyle w:val="Heading1"/>
      </w:pPr>
      <w:r>
        <w:t>8. PPO Reward 与联合优化目标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r_t = w_z r_latent + w_prog r_recovery + w_pose r_pose + r_success − λ_τ r_torque − λ_a r_action_rate − λ_lim r_joint_limit − λ_slip r_slip</w:t>
      </w:r>
    </w:p>
    <w:p>
      <w:r>
        <w:rPr>
          <w:rFonts w:ascii="Noto Sans CJK SC" w:hAnsi="Noto Sans CJK SC" w:eastAsia="Noto Sans CJK SC"/>
          <w:sz w:val="21"/>
        </w:rPr>
        <w:t>其中 r_recovery 可以继续沿用当前统一恢复策略中的高度/upright 进展、稳定性等项；r_latent 负责动作结构，r_pose 负责最终站姿，物理惩罚负责阻止 latent reward hacking。</w:t>
      </w:r>
    </w:p>
    <w:p>
      <w:r>
        <w:rPr>
          <w:rFonts w:ascii="Noto Sans CJK SC" w:hAnsi="Noto Sans CJK SC" w:eastAsia="Noto Sans CJK SC"/>
          <w:sz w:val="21"/>
        </w:rPr>
        <w:t>Transformer 与 PPO 的整体训练目标可写为：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L_total = L_PPO + λ_f L_future + λ_s L_support + λ_φ L_phase + λ_reg L_latent-reg</w:t>
      </w:r>
    </w:p>
    <w:p>
      <w:r>
        <w:rPr>
          <w:rFonts w:ascii="Noto Sans CJK SC" w:hAnsi="Noto Sans CJK SC" w:eastAsia="Noto Sans CJK SC"/>
          <w:sz w:val="21"/>
        </w:rPr>
        <w:t>这里“一个 loss 更新”应理解为共享 backbone 接收多源梯度，而不是所有项使用相同 batch、相同尺度硬加。工程上更推荐每轮 PPO 更新中交替执行若干个 PPO minibatch 和若干个 motion auxiliary minibatch，共享更新 E_θ。</w:t>
      </w:r>
    </w:p>
    <w:p>
      <w:pPr>
        <w:pStyle w:val="Heading1"/>
      </w:pPr>
      <w:r>
        <w:t>9. 推荐的端到端训练循环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从 IsaacLab 并行环境收集 PPO rollout。Actor 输入历史窗口，经 online Transformer 得到 z_current 并产生动作。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每隔 K 步形成一个实际 successor segment，通过 EMA Transformer 编码为 z_robot；从对应参考未来窗口得到 z_target。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计算 latent successor reward、恢复任务奖励、Pose Reward 与物理惩罚，写入 rollout buffer。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执行 PPO update：Actor/Critic 梯度通过 online Transformer 回传。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从 motion 数据随机抽取 support-centered 与 transition-centered windows，执行 L_future、L_support、L_phase 等辅助更新；仍更新同一个 online Transformer。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使用更新后的 online Transformer 对 EMA Transformer 做指数滑动平均。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继续下一轮 rollout；整个过程中没有“先冻结 Transformer 再只训 PPO”的独立阶段。</w:t>
      </w:r>
    </w:p>
    <w:p>
      <w:r>
        <w:br w:type="page"/>
      </w:r>
    </w:p>
    <w:p>
      <w:pPr>
        <w:pStyle w:val="Heading1"/>
      </w:pPr>
      <w:r>
        <w:t>10. Motion window 采样策略</w:t>
      </w:r>
    </w:p>
    <w:p>
      <w:r>
        <w:rPr>
          <w:rFonts w:ascii="Noto Sans CJK SC" w:hAnsi="Noto Sans CJK SC" w:eastAsia="Noto Sans CJK SC"/>
          <w:sz w:val="21"/>
        </w:rPr>
        <w:t>为了让 Transformer 真正学习支撑转换而不是普通 locomotion，建议对窗口做有偏采样：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窗口类型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建议比例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目的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support 内部窗口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45–55%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学习稳定支撑与支撑内部结构变化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support_start / support_end 附近转换窗口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25–35%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学习进入支撑、手释放与结构切换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全 recovery 随机窗口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15–25%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维持完整起身时序与全局上下文</w:t>
            </w:r>
          </w:p>
        </w:tc>
      </w:tr>
    </w:tbl>
    <w:p>
      <w:pPr>
        <w:pStyle w:val="Heading1"/>
      </w:pPr>
      <w:r>
        <w:t>11. Diffusion 在方案 1 中何时加入</w:t>
      </w:r>
    </w:p>
    <w:p>
      <w:r>
        <w:rPr>
          <w:rFonts w:ascii="Noto Sans CJK SC" w:hAnsi="Noto Sans CJK SC" w:eastAsia="Noto Sans CJK SC"/>
          <w:sz w:val="21"/>
        </w:rPr>
        <w:t>Diffusion 不建议从 iteration 0 与 Transformer/PPO 同时随机初始化。原因不是“必须冻结网络”，而是 diffusion 的训练目标依赖 latent 空间；当 early-stage PPO 使 latent 快速变化时，Diffusion 会面对持续漂移的数据分布。</w:t>
      </w:r>
    </w:p>
    <w:p>
      <w:r>
        <w:rPr>
          <w:rFonts w:ascii="Noto Sans CJK SC" w:hAnsi="Noto Sans CJK SC" w:eastAsia="Noto Sans CJK SC"/>
          <w:sz w:val="21"/>
        </w:rPr>
        <w:t>因此推荐在 Transformer–PPO 联合训练已经形成稳定的 recovery latent 后加入 Diffusion，并使用 EMA Transformer 作为 Diffusion 的固定坐标系提供者。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Diffusion 接入位置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完整起身轨迹 → EMA Transformer → latent sequence [z0, z1, …, zK]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当前 latent z_current + 统一站立 latent z_stand → Conditional Diffusion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Diffusion 输出 z_next 或短序列 [z1*, …, zM*]</w:t>
            </w:r>
          </w:p>
        </w:tc>
      </w:tr>
      <w:tr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PPO 不跟踪生成的关节帧，而继续通过 latent successor reward 实现生成的下一段结构。</w:t>
            </w:r>
          </w:p>
        </w:tc>
      </w:tr>
    </w:tbl>
    <w:p>
      <w:pPr>
        <w:spacing w:after="20"/>
      </w:pP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p_ψ(z_next:t+K | z_current, z_stand)</w:t>
      </w:r>
    </w:p>
    <w:p>
      <w:pPr>
        <w:pStyle w:val="Heading2"/>
      </w:pPr>
      <w:r>
        <w:t>11.1 课程式替换 target</w:t>
      </w:r>
    </w:p>
    <w:p>
      <w:r>
        <w:rPr>
          <w:rFonts w:ascii="Noto Sans CJK SC" w:hAnsi="Noto Sans CJK SC" w:eastAsia="Noto Sans CJK SC"/>
          <w:sz w:val="21"/>
        </w:rPr>
        <w:t>Diffusion 刚接入时，不要一次性替换全部真实 latent target。建议逐渐从 dataset successor 过渡到 generated successor：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A：100% dataset z_next；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B：75% dataset + 25% diffusion；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C：50% dataset + 50% diffusion；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D：以 diffusion 为主，同时保留一部分 dataset anchor 防止生成分布漂移。</w:t>
      </w:r>
    </w:p>
    <w:p>
      <w:pPr>
        <w:pStyle w:val="Heading2"/>
      </w:pPr>
      <w:r>
        <w:t>11.2 Diffusion 的职责边界</w:t>
      </w:r>
    </w:p>
    <w:p>
      <w:r>
        <w:rPr>
          <w:rFonts w:ascii="Noto Sans CJK SC" w:hAnsi="Noto Sans CJK SC" w:eastAsia="Noto Sans CJK SC"/>
          <w:sz w:val="21"/>
        </w:rPr>
        <w:t>Diffusion 只解决“从当前结构到站立结构之间，下一段可能是什么”的一对多泛化问题；动力学可行性仍由 PPO 与 simulator 决定。这样不会出现 Diffusion 与 PPO 同时争夺 action generation 的职责冲突。</w:t>
      </w:r>
    </w:p>
    <w:p>
      <w:pPr>
        <w:pStyle w:val="Heading1"/>
      </w:pPr>
      <w:r>
        <w:t>12. 关键风险与对应措施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CE4D6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风险</w:t>
            </w:r>
          </w:p>
        </w:tc>
        <w:tc>
          <w:tcPr>
            <w:tcW w:type="dxa" w:w="3312"/>
            <w:shd w:fill="FCE4D6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表现</w:t>
            </w:r>
          </w:p>
        </w:tc>
        <w:tc>
          <w:tcPr>
            <w:tcW w:type="dxa" w:w="3312"/>
            <w:shd w:fill="FCE4D6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措施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latent 漂移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同一动作在不同 iteration 的 embedding 变化过快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EMA target encoder；target 分支 stop-gradient；Diffusion 只读取 EMA latent。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latent collapse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不同支撑状态被编码得过近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future/support/phase 辅助损失；batch variance/contrastive regularization。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latent reward hacking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机器人姿态不合理却恰好进入目标 embedding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保留高度、upright、成功、torque、joint-limit、slip 等物理 reward。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重新变成时间同步跟踪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每个 control step 对应一个 z_ref(t)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采用 H_f 窗口与 chunk-level successor；允许 ε-margin；不把参考 frame index 输入 Actor。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Diffusion 生成不可执行 latent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生成 latent 位于数据流形外或 PPO 无法实现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dataset anchor 混合；PPO rollout feasibility 筛选；成功样本回灌。</w:t>
            </w:r>
          </w:p>
        </w:tc>
      </w:tr>
    </w:tbl>
    <w:p>
      <w:pPr>
        <w:pStyle w:val="Heading1"/>
      </w:pPr>
      <w:r>
        <w:t>13. 第一版实现建议</w:t>
      </w:r>
    </w:p>
    <w:p>
      <w:r>
        <w:rPr>
          <w:rFonts w:ascii="Noto Sans CJK SC" w:hAnsi="Noto Sans CJK SC" w:eastAsia="Noto Sans CJK SC"/>
          <w:sz w:val="21"/>
        </w:rPr>
        <w:t>以下配置适合作为第一版验证，而不是最终固定超参数：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Transformer：3–4 层、hidden dim 128–256、4 heads；latent dim 32 或 64。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历史窗口 H_p：10–20 帧；future segment H_f：10–30 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latent successor chunk：约 0.2–0.5 s，优先按动作时间而不是固定“下一帧”理解。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EMA momentum m：0.99–0.999，先从 0.995 附近尝试。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早期训练 latent reward 权重不宜过高，先保证 PPO 能完成基本 recovery；随着 latent 可预测性提高再逐步增加。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Pose Reward 在起身早期弱、接近 upright/support_end 后增强；最终统一到同一站立姿势。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Diffusion 只在 latent 表征经过 PPO 联合训练后趋于稳定时加入。</w:t>
      </w:r>
    </w:p>
    <w:p>
      <w:pPr>
        <w:pStyle w:val="Heading1"/>
      </w:pPr>
      <w:r>
        <w:t>14. 必须做的消融实验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Frame successor baseline：StableMimic-style 下一参考状态/姿态奖励。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Latent successor：同样 PPO，但目标改为 Transformer future segment latent。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Latent successor without auxiliary losses：验证 support/phase/future supervision 是否真的塑造了结构 latent。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Online encoder only vs online + EMA target：验证 reward 坐标系稳定机制。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Dataset successor vs Diffusion successor：验证 Diffusion 是否提高 unseen fallen pose 的成功率与路径多样性。</w:t>
      </w:r>
    </w:p>
    <w:p>
      <w:r>
        <w:rPr>
          <w:rFonts w:ascii="Noto Sans CJK SC" w:hAnsi="Noto Sans CJK SC" w:eastAsia="Noto Sans CJK SC"/>
          <w:sz w:val="21"/>
        </w:rPr>
        <w:t>建议至少报告：恢复成功率、恢复时间、peak torque、平均 torque/energy、手/脚滑移、关节极限触发率、最终站姿误差，以及 unseen 初始倒地姿态上的泛化。</w:t>
      </w:r>
    </w:p>
    <w:p>
      <w:pPr>
        <w:pStyle w:val="Heading1"/>
      </w:pPr>
      <w:r>
        <w:t>15. 与现有工作的关系及可形成的论文主线</w:t>
      </w:r>
    </w:p>
    <w:p>
      <w:r>
        <w:rPr>
          <w:rFonts w:ascii="Noto Sans CJK SC" w:hAnsi="Noto Sans CJK SC" w:eastAsia="Noto Sans CJK SC"/>
          <w:sz w:val="21"/>
        </w:rPr>
        <w:t>可以将方法演进表述为：</w:t>
      </w:r>
    </w:p>
    <w:p>
      <w:pPr>
        <w:spacing w:before="80" w:after="140"/>
        <w:jc w:val="center"/>
      </w:pPr>
      <w:r>
        <w:rPr>
          <w:rFonts w:ascii="Noto Serif CJK SC" w:hAnsi="Noto Serif CJK SC" w:eastAsia="Noto Serif CJK SC"/>
          <w:sz w:val="23"/>
        </w:rPr>
        <w:t>hidden frame successor  →  latent segment successor  →  generative latent successor</w:t>
      </w:r>
    </w:p>
    <w:p>
      <w:r>
        <w:rPr>
          <w:rFonts w:ascii="Noto Sans CJK SC" w:hAnsi="Noto Sans CJK SC" w:eastAsia="Noto Sans CJK SC"/>
          <w:sz w:val="21"/>
        </w:rPr>
        <w:t>第一步对应 StableMimic 的 hidden successor-state 思路；第二步是本方案的核心贡献，即用 Transformer 将明确的参考下一帧替换为支撑感知的 future-segment latent；第三步再由 Diffusion 从当前 latent 与统一 standing latent 条件生成下一段结构，使 successor 不再依赖某一条原始参考轨迹。</w:t>
      </w:r>
      <w:r>
        <w:rPr>
          <w:rFonts w:ascii="Noto Sans CJK SC" w:hAnsi="Noto Sans CJK SC" w:eastAsia="Noto Sans CJK SC"/>
          <w:color w:val="5A5A5A"/>
          <w:sz w:val="19"/>
        </w:rPr>
        <w:t xml:space="preserve"> 参考：StableMimic [2] </w:t>
      </w:r>
      <w:hyperlink r:id="rId11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</w:t>
        </w:r>
      </w:hyperlink>
    </w:p>
    <w:p>
      <w:r>
        <w:rPr>
          <w:rFonts w:ascii="Noto Sans CJK SC" w:hAnsi="Noto Sans CJK SC" w:eastAsia="Noto Sans CJK SC"/>
          <w:sz w:val="21"/>
        </w:rPr>
        <w:t>LocoTransformer 可用于论证 Transformer 作为 RL policy backbone 的端到端训练范式；HoloMotion-1 可用于论证 humanoid whole-body control 中大容量时序建模与 sequence-level training 的有效性，但二者都不是本方案所定义的 latent successor recovery。</w:t>
      </w:r>
      <w:r>
        <w:rPr>
          <w:rFonts w:ascii="Noto Sans CJK SC" w:hAnsi="Noto Sans CJK SC" w:eastAsia="Noto Sans CJK SC"/>
          <w:color w:val="5A5A5A"/>
          <w:sz w:val="19"/>
        </w:rPr>
        <w:t xml:space="preserve"> 参考：LocoTransformer [1] </w:t>
      </w:r>
      <w:hyperlink r:id="rId9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</w:t>
        </w:r>
      </w:hyperlink>
      <w:r>
        <w:rPr>
          <w:rFonts w:ascii="Noto Sans CJK SC" w:hAnsi="Noto Sans CJK SC" w:eastAsia="Noto Sans CJK SC"/>
          <w:color w:val="5A5A5A"/>
          <w:sz w:val="19"/>
        </w:rPr>
        <w:t>；</w:t>
      </w:r>
      <w:hyperlink r:id="rId10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代码</w:t>
        </w:r>
      </w:hyperlink>
      <w:r>
        <w:rPr>
          <w:rFonts w:ascii="Noto Sans CJK SC" w:hAnsi="Noto Sans CJK SC" w:eastAsia="Noto Sans CJK SC"/>
          <w:color w:val="5A5A5A"/>
          <w:sz w:val="19"/>
        </w:rPr>
        <w:t xml:space="preserve"> 参考：HoloMotion-1 [3] </w:t>
      </w:r>
      <w:hyperlink r:id="rId12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</w:t>
        </w:r>
      </w:hyperlink>
      <w:r>
        <w:rPr>
          <w:rFonts w:ascii="Noto Sans CJK SC" w:hAnsi="Noto Sans CJK SC" w:eastAsia="Noto Sans CJK SC"/>
          <w:color w:val="5A5A5A"/>
          <w:sz w:val="19"/>
        </w:rPr>
        <w:t>；</w:t>
      </w:r>
      <w:hyperlink r:id="rId13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代码</w:t>
        </w:r>
      </w:hyperlink>
    </w:p>
    <w:p>
      <w:pPr>
        <w:pStyle w:val="Heading1"/>
      </w:pPr>
      <w:r>
        <w:t>16. 最终推荐版本</w:t>
      </w:r>
    </w:p>
    <w:p>
      <w:r>
        <w:rPr>
          <w:rFonts w:ascii="Noto Sans CJK SC" w:hAnsi="Noto Sans CJK SC" w:eastAsia="Noto Sans CJK SC"/>
          <w:sz w:val="21"/>
        </w:rPr>
        <w:t>方案 1 最终建议采用“共享 online Transformer + PPO Actor/Critic + EMA target Transformer”的联合训练形式。Transformer 既由 PPO return 塑造，又由 future/support/phase 辅助任务约束；PPO 的 imitation-like 信号不再是逐帧 reference pose，而是短时间尺度的 latent successor segment。</w:t>
      </w:r>
    </w:p>
    <w:p>
      <w:r>
        <w:rPr>
          <w:rFonts w:ascii="Noto Sans CJK SC" w:hAnsi="Noto Sans CJK SC" w:eastAsia="Noto Sans CJK SC"/>
          <w:sz w:val="21"/>
        </w:rPr>
        <w:t>Diffusion 应在该 latent 已稳定后接入，条件为 (z_current, z_stand)，生成 z_next 或短期 future latent sequence；PPO 继续负责在真实动力学下实现这些结构目标。这样三者的职责可以严格区分为：Transformer 定义起身结构空间，Diffusion 在结构空间中泛化 successor，PPO 实现动力学可行的物理执行。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ind w:left="144" w:hanging="144"/>
      </w:pPr>
      <w:r>
        <w:rPr>
          <w:rFonts w:ascii="Noto Sans CJK SC" w:hAnsi="Noto Sans CJK SC" w:eastAsia="Noto Sans CJK SC"/>
          <w:sz w:val="19"/>
        </w:rPr>
        <w:t xml:space="preserve">[1] Ruihan Yang, Minghao Zhang, Nicklas Hansen, Huazhe Xu, Xiaolong Wang. “Learning Vision-Guided Quadrupedal Locomotion End-to-End with Cross-Modal Transformers (LocoTransformer).” ICLR 2022. </w:t>
      </w:r>
      <w:hyperlink r:id="rId9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论文：https://arxiv.org/abs/2107.03996</w:t>
        </w:r>
      </w:hyperlink>
      <w:r>
        <w:rPr>
          <w:rFonts w:ascii="Noto Sans CJK SC" w:hAnsi="Noto Sans CJK SC" w:eastAsia="Noto Sans CJK SC"/>
          <w:sz w:val="19"/>
        </w:rPr>
        <w:t>；</w:t>
      </w:r>
      <w:hyperlink r:id="rId10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代码：https://github.com/Mehooz/vision4leg</w:t>
        </w:r>
      </w:hyperlink>
    </w:p>
    <w:p>
      <w:pPr>
        <w:ind w:left="144" w:hanging="144"/>
      </w:pPr>
      <w:r>
        <w:rPr>
          <w:rFonts w:ascii="Noto Sans CJK SC" w:hAnsi="Noto Sans CJK SC" w:eastAsia="Noto Sans CJK SC"/>
          <w:sz w:val="19"/>
        </w:rPr>
        <w:t xml:space="preserve">[2] Weihao Wu, Ming Huang, Ruofei Liu, Jinglei Nie, Shuxiang Guo, Chunying Li. “StableMimic: Smooth Human-Like Recovery for Humanoid Motion Tracking — Learning Beyond the Tracking Distribution for Structured Post-Fall Behavior.” arXiv:2608.02385, 2026. </w:t>
      </w:r>
      <w:hyperlink r:id="rId11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论文：https://arxiv.org/abs/2608.02385</w:t>
        </w:r>
      </w:hyperlink>
      <w:r>
        <w:rPr>
          <w:rFonts w:ascii="Noto Sans CJK SC" w:hAnsi="Noto Sans CJK SC" w:eastAsia="Noto Sans CJK SC"/>
          <w:sz w:val="19"/>
        </w:rPr>
        <w:t>；</w:t>
      </w:r>
      <w:hyperlink r:id="rId14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PDF：https://arxiv.org/pdf/2608.02385</w:t>
        </w:r>
      </w:hyperlink>
    </w:p>
    <w:p>
      <w:pPr>
        <w:ind w:left="144" w:hanging="144"/>
      </w:pPr>
      <w:r>
        <w:rPr>
          <w:rFonts w:ascii="Noto Sans CJK SC" w:hAnsi="Noto Sans CJK SC" w:eastAsia="Noto Sans CJK SC"/>
          <w:sz w:val="19"/>
        </w:rPr>
        <w:t xml:space="preserve">[3] Maiyue Chen et al. “HoloMotion-1 Technical Report.” arXiv:2605.15336, 2026. </w:t>
      </w:r>
      <w:hyperlink r:id="rId12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论文：https://arxiv.org/abs/2605.15336</w:t>
        </w:r>
      </w:hyperlink>
      <w:r>
        <w:rPr>
          <w:rFonts w:ascii="Noto Sans CJK SC" w:hAnsi="Noto Sans CJK SC" w:eastAsia="Noto Sans CJK SC"/>
          <w:sz w:val="19"/>
        </w:rPr>
        <w:t>；</w:t>
      </w:r>
      <w:hyperlink r:id="rId13">
        <w:r>
          <w:rPr>
            <w:rFonts w:ascii="Noto Sans CJK SC" w:hAnsi="Noto Sans CJK SC" w:eastAsia="Noto Sans CJK SC"/>
            <w:color w:val="0563C1"/>
            <w:u w:val="single"/>
            <w:sz w:val="19"/>
          </w:rPr>
          <w:t>代码：https://github.com/HorizonRobotics/HoloMotion</w:t>
        </w:r>
      </w:hyperlink>
    </w:p>
    <w:sectPr w:rsidR="00FC693F" w:rsidRPr="0006063C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D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6F8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Label">
    <w:name w:val="Equation Label"/>
    <w:rPr>
      <w:rFonts w:ascii="Noto Sans CJK SC" w:hAnsi="Noto Sans CJK SC" w:eastAsia="Noto Sans CJK SC"/>
      <w:i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107.03996" TargetMode="External"/><Relationship Id="rId10" Type="http://schemas.openxmlformats.org/officeDocument/2006/relationships/hyperlink" Target="https://github.com/Mehooz/vision4leg" TargetMode="External"/><Relationship Id="rId11" Type="http://schemas.openxmlformats.org/officeDocument/2006/relationships/hyperlink" Target="https://arxiv.org/abs/2608.02385" TargetMode="External"/><Relationship Id="rId12" Type="http://schemas.openxmlformats.org/officeDocument/2006/relationships/hyperlink" Target="https://arxiv.org/abs/2605.15336" TargetMode="External"/><Relationship Id="rId13" Type="http://schemas.openxmlformats.org/officeDocument/2006/relationships/hyperlink" Target="https://github.com/HorizonRobotics/HoloMotion" TargetMode="External"/><Relationship Id="rId14" Type="http://schemas.openxmlformats.org/officeDocument/2006/relationships/hyperlink" Target="https://arxiv.org/pdf/2608.02385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