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>
      <w:pPr>
        <w:ind w:firstLine="0"/>
        <w:jc w:val="center"/>
      </w:pPr>
      <w:r>
        <w:rPr>
          <w:rFonts w:ascii="Cambria Math" w:eastAsia="SimHei" w:hAnsi="Cambria Math"/>
          <w:b/>
          <w:bCs/>
          <w:sz w:val="44"/>
          <w:szCs w:val="44"/>
        </w:rPr>
        <w:t xml:space="preserve">AES 自动作文评分系统</w:t>
      </w:r>
    </w:p>
    <w:p/>
    <w:p>
      <w:pPr>
        <w:ind w:firstLine="0"/>
        <w:jc w:val="center"/>
      </w:pPr>
      <w:r>
        <w:rPr>
          <w:rFonts w:ascii="Cambria Math" w:eastAsia="SimHei" w:hAnsi="Cambria Math"/>
          <w:b/>
          <w:bCs/>
          <w:sz w:val="28"/>
          <w:szCs w:val="28"/>
        </w:rPr>
        <w:t xml:space="preserve">Automated Essay Scoring System</w:t>
      </w:r>
    </w:p>
    <w:p/>
    <w:p/>
    <w:p>
      <w:pPr>
        <w:ind w:firstLine="0"/>
        <w:jc w:val="center"/>
      </w:pPr>
      <w:r>
        <w:rPr>
          <w:rFonts w:ascii="Cambria Math" w:eastAsia="SimHei" w:hAnsi="Cambria Math"/>
          <w:sz w:val="32"/>
          <w:szCs w:val="32"/>
        </w:rPr>
        <w:t xml:space="preserve">答辩报告</w:t>
      </w:r>
    </w:p>
    <w:p/>
    <w:p/>
    <w:p/>
    <w:p>
      <w:pPr>
        <w:ind w:firstLine="0"/>
        <w:jc w:val="center"/>
      </w:pPr>
      <w:r>
        <w:t xml:space="preserve">基于深度学习的英文/中文作文智能评分系统</w:t>
      </w:r>
    </w:p>
    <w:p/>
    <w:p/>
    <w:p>
      <w:pPr>
        <w:ind w:firstLine="0"/>
        <w:jc w:val="center"/>
      </w:pPr>
      <w:r>
        <w:t xml:space="preserve">工程实践项目  2026年6月</w:t>
      </w:r>
    </w:p>
    <w:p>
      <w:r>
        <w:br w:type="page"/>
      </w:r>
    </w:p>
    <w:p>
      <w:r>
        <w:br w:type="page"/>
      </w:r>
    </w:p>
    <w:p>
      <w:pPr>
        <w:ind w:firstLine="0"/>
        <w:jc w:val="center"/>
      </w:pPr>
      <w:r>
        <w:rPr>
          <w:rFonts w:ascii="Cambria Math" w:eastAsia="SimHei" w:hAnsi="Cambria Math"/>
          <w:b/>
          <w:bCs/>
          <w:sz w:val="32"/>
          <w:szCs w:val="32"/>
        </w:rPr>
        <w:t xml:space="preserve">目  录</w:t>
      </w:r>
    </w:p>
    <w:p/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ind w:firstLine="0"/>
      </w:pPr>
      <w:r>
        <w:t xml:space="preserve">一、项目背景</w:t>
      </w:r>
    </w:p>
    <w:p/>
    <w:p>
      <w:pPr>
        <w:pStyle w:val="Heading2"/>
        <w:numPr>
          <w:ilvl w:val="0"/>
          <w:numId w:val="2"/>
        </w:numPr>
        <w:ind w:firstLine="0"/>
      </w:pPr>
      <w:r>
        <w:t xml:space="preserve">问题定义</w:t>
      </w:r>
    </w:p>
    <w:p/>
    <w:p>
      <w:r>
        <w:t xml:space="preserve">作文评分是教育领域最耗时的工作之一。一名语文或英语教师通常需要批阅4-6个班级的作文，每篇作文的评分与评语撰写需要5-10分钟，单次作文批改工作量可达15-20小时。传统的自动评分方法依赖于人工定义的浅层特征（如词汇复杂度、句长、语法错误数等），这些方法难以捕捉文本的深层语义信息，评分准确度有限。</w:t>
      </w:r>
    </w:p>
    <w:p/>
    <w:p>
      <w:r>
        <w:t xml:space="preserve">本项目旨在利用深度学习技术，构建一个能够自动评估中英文作文质量的评分系统，通过预训练语言模型（BERT）理解文本的语义内容，输出总分、多维度分项分以及文字评语反馈。</w:t>
      </w:r>
    </w:p>
    <w:p/>
    <w:p>
      <w:pPr>
        <w:pStyle w:val="Heading2"/>
        <w:numPr>
          <w:ilvl w:val="0"/>
          <w:numId w:val="2"/>
        </w:numPr>
        <w:ind w:firstLine="0"/>
      </w:pPr>
      <w:r>
        <w:t xml:space="preserve">研究意义</w:t>
      </w:r>
    </w:p>
    <w:p/>
    <w:p>
      <w:r>
        <w:t xml:space="preserve">自动作文评分（AES）在教育技术领域具有重要的应用价值：首先，它可以大幅减轻教师的批改负担，让教师有更多时间进行针对性教学设计；其次，它可以为学生提供即时的写作反馈，提高学习效率；第三，标准化的自动评分可以消除人工评分中的主观偏差，保证评分一致性。此外，完整的工程实现（包括Web端和移动端）也展示了从科研模型到可部署产品的完整技术链路。</w:t>
      </w:r>
    </w:p>
    <w:p/>
    <w:p>
      <w:pPr>
        <w:pStyle w:val="Heading2"/>
        <w:numPr>
          <w:ilvl w:val="0"/>
          <w:numId w:val="2"/>
        </w:numPr>
        <w:ind w:firstLine="0"/>
      </w:pPr>
      <w:r>
        <w:t xml:space="preserve">现有方案与不足</w:t>
      </w:r>
    </w:p>
    <w:p/>
    <w:p>
      <w:r>
        <w:t xml:space="preserve">当前主流的AES方法主要分为两类：基于特征工程的传统方法和基于深度学习的方法。传统方法（如E-rater、Intelligent Essay Assessor）依赖手工设计的词汇、语法和篇章特征，浅层特征难以捕捉深层语义。深度学习方法（如基于LSTM或BERT的模型）虽然效果更好，但大多仅支持英文评分，且缺乏从Web到移动端的全平台覆盖。本项目同时支持中英文双语评分，并提供Web版和Android版两个完整前端。</w:t>
      </w:r>
    </w:p>
    <w:p/>
    <w:p>
      <w:pPr>
        <w:pStyle w:val="Heading1"/>
        <w:ind w:firstLine="0"/>
      </w:pPr>
      <w:r>
        <w:t xml:space="preserve">二、系统架构</w:t>
      </w:r>
    </w:p>
    <w:p/>
    <w:p>
      <w:pPr>
        <w:pStyle w:val="Heading2"/>
        <w:numPr>
          <w:ilvl w:val="0"/>
          <w:numId w:val="3"/>
        </w:numPr>
        <w:ind w:firstLine="0"/>
      </w:pPr>
      <w:r>
        <w:t xml:space="preserve">整体架构设计</w:t>
      </w:r>
    </w:p>
    <w:p/>
    <w:p>
      <w:r>
        <w:t xml:space="preserve">系统采用分层架构，从下到上分为数据层、模型层和应用层三个层次。数据层负责文本数据的清洗、归一化和数据集划分；模型层基于预训练BERT模型构建回归网络，实现从文本到分数的端到端映射；应用层包含Flask REST API、Streamlit Web UI和Android原生App三个独立的前端。</w:t>
      </w:r>
    </w:p>
    <w:p/>
    <w:p>
      <w:pPr>
        <w:pStyle w:val="Heading2"/>
        <w:numPr>
          <w:ilvl w:val="0"/>
          <w:numId w:val="3"/>
        </w:numPr>
        <w:ind w:firstLine="0"/>
      </w:pPr>
      <w:r>
        <w:t xml:space="preserve">Web版架构</w:t>
      </w:r>
    </w:p>
    <w:p/>
    <w:p>
      <w:r>
        <w:t xml:space="preserve">Web版采用经典的C/S架构：后端使用Flask框架提供RESTful API（4个端点：健康检查/模型信息/单篇评分/批量评分），前端使用Streamlit框架提供交互式Web界面（4个页面：评分/批量评分/中英对比/设置）。前后端通过HTTP JSON通信，模型在Flask服务启动时预加载到GPU内存，推理在GPU上以fp16精度执行。</w:t>
      </w:r>
    </w:p>
    <w:p/>
    <w:p>
      <w:pPr>
        <w:pStyle w:val="Heading2"/>
        <w:numPr>
          <w:ilvl w:val="0"/>
          <w:numId w:val="3"/>
        </w:numPr>
        <w:ind w:firstLine="0"/>
      </w:pPr>
      <w:r>
        <w:t xml:space="preserve">Android版架构</w:t>
      </w:r>
    </w:p>
    <w:p/>
    <w:p>
      <w:r>
        <w:t xml:space="preserve">Android版采用纯本地推理架构，不需要网络连接和后端服务器。App使用PyTorch Mobile Lite加载TorchScript模型文件（.pt），BERT分词器由Kotlin从零实现（约100行代码，零外部NLP库依赖），语言检测通过简单的Unicode字符范围规则判断中英文。UI使用Jetpack Compose + Material3实现，包括4个底部Tab导航页面（评分/批量/对比/设置），雷达图使用Compose Canvas自绘，不依赖第三方图表库。</w:t>
      </w:r>
    </w:p>
    <w:p/>
    <w:p>
      <w:pPr>
        <w:pStyle w:val="TableCaption"/>
      </w:pPr>
      <w:r>
        <w:t xml:space="preserve">表 2-</w:t>
      </w:r>
      <w:r>
        <w:fldChar w:fldCharType="begin" w:dirty="true"/>
        <w:instrText xml:space="preserve">SEQ table_c2</w:instrText>
        <w:fldChar w:fldCharType="separate"/>
        <w:fldChar w:fldCharType="end"/>
      </w:r>
      <w:r>
        <w:t xml:space="preserve"> Web版与Android版架构对比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35"/>
        <w:gridCol w:w="3435"/>
      </w:tblGrid>
      <w:tr>
        <w:trPr>
          <w:tblHeader/>
        </w:trPr>
        <w:tc>
          <w:tcPr>
            <w:tcW w:type="dxa" w:w="2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维度</w:t>
            </w:r>
          </w:p>
        </w:tc>
        <w:tc>
          <w:tcPr>
            <w:tcW w:type="dxa" w:w="34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Web 版</w:t>
            </w:r>
          </w:p>
        </w:tc>
        <w:tc>
          <w:tcPr>
            <w:tcW w:type="dxa" w:w="34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Android 版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推理位置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Flask 服务器 (GPU)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手机本地 (CPU)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模型加载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Python PyTorch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PyTorch Mobile Lite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分词器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HuggingFace Transformers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Kotlin 自实现 WordPiece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UI 框架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Streamlit + Plotly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Jetpack Compose + Canvas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网络依赖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需要 HTTP 连接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完全离线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推理速度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~200ms (fp16 GPU)</w:t>
            </w:r>
          </w:p>
        </w:tc>
        <w:tc>
          <w:tcPr>
            <w:tcW w:type="dxa" w:w="34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~1-5s (CPU)</w:t>
            </w:r>
          </w:p>
        </w:tc>
      </w:tr>
    </w:tbl>
    <w:p/>
    <w:p>
      <w:pPr>
        <w:pStyle w:val="Heading1"/>
        <w:ind w:firstLine="0"/>
      </w:pPr>
      <w:r>
        <w:t xml:space="preserve">三、技术方案</w:t>
      </w:r>
    </w:p>
    <w:p/>
    <w:p>
      <w:pPr>
        <w:pStyle w:val="Heading2"/>
        <w:numPr>
          <w:ilvl w:val="0"/>
          <w:numId w:val="4"/>
        </w:numPr>
        <w:ind w:firstLine="0"/>
      </w:pPr>
      <w:r>
        <w:t xml:space="preserve">模型设计</w:t>
      </w:r>
    </w:p>
    <w:p/>
    <w:p>
      <w:r>
        <w:t xml:space="preserve">英文模型基于BERT-base-uncased（12层Transformer、768维隐藏层、110M参数），在[CLS]标记的输出向量上添加一个Dropout层（p=0.1）和一个线性回归头（768→1），最后通过Sigmoid函数将输出映射到[0,1]区间。中文模型基于BERT-base-chinese（相同架构，21128词汇表），采用相同的回归头设计。</w:t>
      </w:r>
    </w:p>
    <w:p/>
    <w:p>
      <w:r>
        <w:t xml:space="preserve">此外，架构上已预留了多任务变体（AESMultiTaskModel），在同一个编码器上添加4个独立的回归头，分别预测总评分、内容分、结构分和语言分，只需维度标注数据即可训练。</w:t>
      </w:r>
    </w:p>
    <w:p/>
    <w:p>
      <w:pPr>
        <w:pStyle w:val="Heading2"/>
        <w:numPr>
          <w:ilvl w:val="0"/>
          <w:numId w:val="4"/>
        </w:numPr>
        <w:ind w:firstLine="0"/>
      </w:pPr>
      <w:r>
        <w:t xml:space="preserve">数据处理流水线</w:t>
      </w:r>
    </w:p>
    <w:p/>
    <w:p>
      <w:r>
        <w:t xml:space="preserve">英文数据来自ASAP自动作文评分竞赛数据集（12,979篇），预处理流程包括：HTML转义字符解码、@提及和URL移除、空白规范化、按essay_set归一化分数（min-max映射至[0,1]）、BERT分词和按essay_set级别的训练/验证/测试隔离划分。</w:t>
      </w:r>
    </w:p>
    <w:p/>
    <w:p>
      <w:r>
        <w:t xml:space="preserve">中文数据通过将英文作文经Google Translate翻译生成（3,950篇），预处理流程包括：全角转半角、控制字符移除、jieba分词（词间加空格）、归一化和BERT分词。翻译数据的局限性在于可能存在翻译腔，对自然中文表达的适应性有限。</w:t>
      </w:r>
    </w:p>
    <w:p/>
    <w:p>
      <w:pPr>
        <w:pStyle w:val="Heading2"/>
        <w:numPr>
          <w:ilvl w:val="0"/>
          <w:numId w:val="4"/>
        </w:numPr>
        <w:ind w:firstLine="0"/>
      </w:pPr>
      <w:r>
        <w:t xml:space="preserve">训练策略</w:t>
      </w:r>
    </w:p>
    <w:p/>
    <w:p>
      <w:r>
        <w:t xml:space="preserve">英文模型采用AdamW优化器（weight_decay=0.01），学习率2e-5，batch size 16，训练5个epochs，配合线性预热（10%步数）和线性衰减调度，使用fp16混合精度训练。中文模型batch size降至8，使用fp32精度。两个模型均设置早停patience=3。英文模型采用严格的prompt隔离划分——不同essay_set的作文不会同时出现在训练集和测试集中，这避免了题目级别的数据泄露，是更真实的跨题目泛化评估。</w:t>
      </w:r>
    </w:p>
    <w:p/>
    <w:p>
      <w:pPr>
        <w:pStyle w:val="TableCaption"/>
      </w:pPr>
      <w:r>
        <w:t xml:space="preserve">表 3-</w:t>
      </w:r>
      <w:r>
        <w:fldChar w:fldCharType="begin" w:dirty="true"/>
        <w:instrText xml:space="preserve">SEQ table_c3</w:instrText>
        <w:fldChar w:fldCharType="separate"/>
        <w:fldChar w:fldCharType="end"/>
      </w:r>
      <w:r>
        <w:t xml:space="preserve"> 训练超参数配置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85"/>
        <w:gridCol w:w="3285"/>
      </w:tblGrid>
      <w:tr>
        <w:trPr>
          <w:tblHeader/>
        </w:trPr>
        <w:tc>
          <w:tcPr>
            <w:tcW w:type="dxa" w:w="2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328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英文模型</w:t>
            </w:r>
          </w:p>
        </w:tc>
        <w:tc>
          <w:tcPr>
            <w:tcW w:type="dxa" w:w="328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中文模型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基础模型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bert-base-uncased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bert-base-chinese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学习率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2e-5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2e-5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Batch Size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训练轮数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早停 Patience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计算精度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fp16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fp32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优化器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AdamW (wd=0.01)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AdamW (wd=0.01)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数据集划分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Essay-set 隔离</w:t>
            </w:r>
          </w:p>
        </w:tc>
        <w:tc>
          <w:tcPr>
            <w:tcW w:type="dxa" w:w="32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随机划分</w:t>
            </w:r>
          </w:p>
        </w:tc>
      </w:tr>
    </w:tbl>
    <w:p/>
    <w:p>
      <w:pPr>
        <w:pStyle w:val="Heading2"/>
        <w:numPr>
          <w:ilvl w:val="0"/>
          <w:numId w:val="4"/>
        </w:numPr>
        <w:ind w:firstLine="0"/>
      </w:pPr>
      <w:r>
        <w:t xml:space="preserve">评估指标</w:t>
      </w:r>
    </w:p>
    <w:p/>
    <w:p>
      <w:r>
        <w:t xml:space="preserve">主要评估指标为二次加权Kappa系数（QWK），用于衡量模型评分与人工评分之间的一致性。QWK = 1 - (Σw_ij O_ij) / (Σw_ij E_ij)，其中w_ij = (i-j)^2为二次权重矩阵，O_ij为观测一致矩阵，E_ij为期望一致矩阵。QWK ∈ [-1, 1]，0.70+为可接受水平。辅助指标包括MAE（平均绝对误差）和Pearson相关系数。</w:t>
      </w:r>
    </w:p>
    <w:p/>
    <w:p>
      <w:pPr>
        <w:pStyle w:val="Heading1"/>
        <w:ind w:firstLine="0"/>
      </w:pPr>
      <w:r>
        <w:t xml:space="preserve">四、实现细节</w:t>
      </w:r>
    </w:p>
    <w:p/>
    <w:p>
      <w:pPr>
        <w:pStyle w:val="Heading2"/>
        <w:numPr>
          <w:ilvl w:val="0"/>
          <w:numId w:val="5"/>
        </w:numPr>
        <w:ind w:firstLine="0"/>
      </w:pPr>
      <w:r>
        <w:t xml:space="preserve">Python推理引擎</w:t>
      </w:r>
    </w:p>
    <w:p/>
    <w:p>
      <w:r>
        <w:t xml:space="preserve">推理引擎（AdvancedPredictor）负责管理模型生命周期和评分流水线。predict方法接收文本和语言参数，依次执行：语言自动检测（langdetect库 + 字符规则）、文本预处理（英文：HTML清理/URL移除，中文：jieba分词/全半角转换）、模型推理（GPU fp16）、分数后处理（NaN保护、维度分启发式拆分）和反馈生成（分数→等级→模板→文字）。</w:t>
      </w:r>
    </w:p>
    <w:p/>
    <w:p>
      <w:pPr>
        <w:pStyle w:val="Heading2"/>
        <w:numPr>
          <w:ilvl w:val="0"/>
          <w:numId w:val="5"/>
        </w:numPr>
        <w:ind w:firstLine="0"/>
      </w:pPr>
      <w:r>
        <w:t xml:space="preserve">Flask REST API</w:t>
      </w:r>
    </w:p>
    <w:p/>
    <w:p>
      <w:r>
        <w:t xml:space="preserve">API层提供4个端点：GET /api/v1/health 返回服务状态和模型加载情况；GET /api/v1/models 返回模型注册表信息；POST /api/v1/score 接收{text, language}进行单篇评分；POST /api/v1/batch 接收CSV文件进行批量评分。所有响应采用统一的JSON格式（success + data/error），HTTP状态码明确区分成功(200)、参数错误(400)、路由不存在(404)和服务错误(500)。</w:t>
      </w:r>
    </w:p>
    <w:p/>
    <w:p>
      <w:pPr>
        <w:pStyle w:val="Heading2"/>
        <w:numPr>
          <w:ilvl w:val="0"/>
          <w:numId w:val="5"/>
        </w:numPr>
        <w:ind w:firstLine="0"/>
      </w:pPr>
      <w:r>
        <w:t xml:space="preserve">Streamlit Web UI</w:t>
      </w:r>
    </w:p>
    <w:p/>
    <w:p>
      <w:r>
        <w:t xml:space="preserve">Web前端使用Streamlit构建，4个页面分别对应评分、批量评分、中英对比和模型设置。评分页面提供语言选择、文本输入、分数仪表盘、Plotly雷达图和反馈卡片。UI支持中英文两种语言切换（通过i18n JSON文件实现国际化）。核心UI组件包括：总分仪表盘（大号数字+渐变进度条）、三维度卡片（内容/结构/语言，带颜色编码）、雷达图可视化和模板化反馈评语。</w:t>
      </w:r>
    </w:p>
    <w:p/>
    <w:p>
      <w:pPr>
        <w:pStyle w:val="Heading2"/>
        <w:numPr>
          <w:ilvl w:val="0"/>
          <w:numId w:val="5"/>
        </w:numPr>
        <w:ind w:firstLine="0"/>
      </w:pPr>
      <w:r>
        <w:t xml:space="preserve">Android端实现</w:t>
      </w:r>
    </w:p>
    <w:p/>
    <w:p>
      <w:r>
        <w:t xml:space="preserve">Android App使用Kotlin + Jetpack Compose开发，最低支持Android 10（API 29）。推理引擎使用PyTorch Mobile Lite 1.13.1加载TorchScript模型，模型文件（.pt）打包在APK的assets目录中。应用架构分为三层：推理层（inference/，包含AESPredictor、BertTokenizer、LanguageDetector）、UI组件层（ui/components/，包含ScoreGauge、RadarChart、FeedbackCard）和页面层（ui/screen/，4个Tab页面）。</w:t>
      </w:r>
    </w:p>
    <w:p/>
    <w:p>
      <w:pPr>
        <w:pStyle w:val="Heading2"/>
        <w:numPr>
          <w:ilvl w:val="0"/>
          <w:numId w:val="5"/>
        </w:numPr>
        <w:ind w:firstLine="0"/>
      </w:pPr>
      <w:r>
        <w:t xml:space="preserve">BERT分词器实现</w:t>
      </w:r>
    </w:p>
    <w:p/>
    <w:p>
      <w:r>
        <w:t xml:space="preserve">Android版的核心技术亮点之一是Kotlin原生的BERT WordPiece分词器实现（约100行代码，零外部NLP库依赖）。分词过程分为三个步骤：basicTokenize阶段按空格/标点分词，中文字符逐字切分；wordPieceTokenize阶段进行贪心最长子词匹配，未匹配的词段使用##前缀的子词拼接；最后在序列前后添加[CLS]和[SEP]标记，截断或填充至512个token。词表从assets目录的vocab.txt文件加载，构建HashMap&lt;String, Int&gt;供快速查找。</w:t>
      </w:r>
    </w:p>
    <w:p/>
    <w:p>
      <w:pPr>
        <w:pStyle w:val="Heading1"/>
        <w:ind w:firstLine="0"/>
      </w:pPr>
      <w:r>
        <w:t xml:space="preserve">五、测试结果</w:t>
      </w:r>
    </w:p>
    <w:p/>
    <w:p>
      <w:pPr>
        <w:pStyle w:val="Heading2"/>
        <w:numPr>
          <w:ilvl w:val="0"/>
          <w:numId w:val="6"/>
        </w:numPr>
        <w:ind w:firstLine="0"/>
      </w:pPr>
      <w:r>
        <w:t xml:space="preserve">模型表现</w:t>
      </w:r>
    </w:p>
    <w:p/>
    <w:p>
      <w:pPr>
        <w:pStyle w:val="TableCaption"/>
      </w:pPr>
      <w:r>
        <w:t xml:space="preserve">表 5-</w:t>
      </w:r>
      <w:r>
        <w:fldChar w:fldCharType="begin" w:dirty="true"/>
        <w:instrText xml:space="preserve">SEQ table_c5</w:instrText>
        <w:fldChar w:fldCharType="separate"/>
        <w:fldChar w:fldCharType="end"/>
      </w:r>
      <w:r>
        <w:t xml:space="preserve"> 模型评估结果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70"/>
      </w:tblGrid>
      <w:tr>
        <w:trPr>
          <w:tblHeader/>
        </w:trPr>
        <w:tc>
          <w:tcPr>
            <w:tcW w:type="dxa" w:w="3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模型</w:t>
            </w:r>
          </w:p>
        </w:tc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Val QWK</w:t>
            </w:r>
          </w:p>
        </w:tc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Test QWK</w:t>
            </w:r>
          </w:p>
        </w:tc>
        <w:tc>
          <w:tcPr>
            <w:tcW w:type="dxa" w:w="207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/>
                <w:bCs/>
              </w:rPr>
              <w:t xml:space="preserve">评估方式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BERT-base 英文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0.58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严格 prompt 隔离评估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BERT-base 中文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0.79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0.76</w:t>
            </w:r>
          </w:p>
        </w:tc>
        <w:tc>
          <w:tcPr>
            <w:tcW w:type="dxa" w:w="20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ind w:firstLine="0"/>
              <w:jc w:val="center"/>
            </w:pPr>
            <w:r>
              <w:rPr>
                <w:b w:val="false"/>
                <w:bCs w:val="false"/>
              </w:rPr>
              <w:t xml:space="preserve">翻译数据，随机划分评估</w:t>
            </w:r>
          </w:p>
        </w:tc>
      </w:tr>
    </w:tbl>
    <w:p/>
    <w:p>
      <w:r>
        <w:t xml:space="preserve">英文模型QWK约0.58，数值看似偏低，但这是在严格的prompt隔离条件下的结果——训练集和测试集包含完全不同的作文题目，这比同题目内随机划分更严格，更能反映模型对新题目的泛化能力。中文模型QWK 0.79是在随机划分条件下得到的，偏高，因为翻译数据同源。</w:t>
      </w:r>
    </w:p>
    <w:p/>
    <w:p>
      <w:pPr>
        <w:pStyle w:val="Heading2"/>
        <w:numPr>
          <w:ilvl w:val="0"/>
          <w:numId w:val="6"/>
        </w:numPr>
        <w:ind w:firstLine="0"/>
      </w:pPr>
      <w:r>
        <w:t xml:space="preserve">单元测试</w:t>
      </w:r>
    </w:p>
    <w:p/>
    <w:p>
      <w:r>
        <w:t xml:space="preserve">项目包含17项单元测试（pytest），覆盖数据预处理模块（cleaner、normalizer、splitter、tokenizer）和API端点（health、models、score、batch）。测试用例包括正常输入验证和边界条件（空文本、超长文本、缺失参数等）的异常处理。运行方式：pytest tests/ -v。</w:t>
      </w:r>
    </w:p>
    <w:p/>
    <w:p>
      <w:pPr>
        <w:pStyle w:val="Heading2"/>
        <w:numPr>
          <w:ilvl w:val="0"/>
          <w:numId w:val="6"/>
        </w:numPr>
        <w:ind w:firstLine="0"/>
      </w:pPr>
      <w:r>
        <w:t xml:space="preserve">端到端测试</w:t>
      </w:r>
    </w:p>
    <w:p/>
    <w:p>
      <w:r>
        <w:t xml:space="preserve">项目包含41项端到端测试（Playwright），覆盖Flask API全部4个端点的正常/异常场景以及Streamlit UI全部4个页面的交互功能验证。测试自动启动Flask和Streamlit服务，在无界面浏览器中执行用户操作流程，验证响应数据的完整性和正确性。运行方式：python tests/test_e2e.py。</w:t>
      </w:r>
    </w:p>
    <w:p/>
    <w:p>
      <w:pPr>
        <w:pStyle w:val="Heading1"/>
        <w:ind w:firstLine="0"/>
      </w:pPr>
      <w:r>
        <w:t xml:space="preserve">六、总结与展望</w:t>
      </w:r>
    </w:p>
    <w:p/>
    <w:p>
      <w:pPr>
        <w:pStyle w:val="Heading2"/>
        <w:numPr>
          <w:ilvl w:val="0"/>
          <w:numId w:val="7"/>
        </w:numPr>
        <w:ind w:firstLine="0"/>
      </w:pPr>
      <w:r>
        <w:t xml:space="preserve">项目成果</w:t>
      </w:r>
    </w:p>
    <w:p/>
    <w:p>
      <w:r>
        <w:t xml:space="preserve">本项目完成了一个完整的AES自动作文评分系统，主要成果包括：实现了基于BERT的中英文双语作文自动评分模型（英文QWK 0.58 / 中文QWK 0.79）；构建了Flask REST API + Streamlit Web UI的完整Web服务；开发了基于PyTorch Mobile的Android原生App（离线推理、Kotlin自实现WordPiece分词器）；编写了17项单元测试和41项端到端测试；产出了完整的技术文档（架构设计、答辩脚本、Word报告、PPT）。</w:t>
      </w:r>
    </w:p>
    <w:p/>
    <w:p>
      <w:pPr>
        <w:pStyle w:val="Heading2"/>
        <w:numPr>
          <w:ilvl w:val="0"/>
          <w:numId w:val="7"/>
        </w:numPr>
        <w:ind w:firstLine="0"/>
      </w:pPr>
      <w:r>
        <w:t xml:space="preserve">已知限制</w:t>
      </w:r>
    </w:p>
    <w:p/>
    <w:p>
      <w:r>
        <w:t xml:space="preserve">系统存在以下已知限制：中文模型基于翻译数据训练，对自然中文表达的适应性有限；当前维度评分通过启发式拆分得到（总分×系数），非真正的多任务联合推理；BERT的512 token输入限制导致超长作文被截断；Android双模型体积约800MB，APK过大需优化；DeBERTa-v3大模型在当前环境训练不稳定，未投入使用。</w:t>
      </w:r>
    </w:p>
    <w:p/>
    <w:p>
      <w:pPr>
        <w:pStyle w:val="Heading2"/>
        <w:numPr>
          <w:ilvl w:val="0"/>
          <w:numId w:val="7"/>
        </w:numPr>
        <w:ind w:firstLine="0"/>
      </w:pPr>
      <w:r>
        <w:t xml:space="preserve">改进方向</w:t>
      </w:r>
    </w:p>
    <w:p/>
    <w:p>
      <w:r>
        <w:t xml:space="preserve">后续改进方向包括：收集真实中文作文数据替代翻译数据，提升中文模型的领域适应性；为多任务模型（AESMultiTaskModel，4个独立回归头）收集维度标注数据，实现真正的多维度联合评分；引入Longformer或BigBird等长文本模型支持超长作文；Android端考虑模型量化（INT8）以减小APK体积和加速推理；基于用户反馈持续优化评语模板的多样性和针对性。</w:t>
      </w:r>
    </w:p>
    <w:p/>
    <w:p>
      <w:r>
        <w:br w:type="page"/>
      </w:r>
    </w:p>
    <w:p>
      <w:pPr>
        <w:pStyle w:val="Heading1"/>
        <w:ind w:firstLine="0"/>
      </w:pPr>
      <w:r>
        <w:t xml:space="preserve">参考文献</w:t>
      </w:r>
    </w:p>
    <w:p/>
    <w:p>
      <w:pPr>
        <w:pStyle w:val="Reference"/>
        <w:numPr>
          <w:ilvl w:val="0"/>
          <w:numId w:val="8"/>
        </w:numPr>
      </w:pPr>
      <w:r>
        <w:t xml:space="preserve">Devlin J, Chang M W, Lee K, et al. BERT: Pre-training of Deep Bidirectional Transformers for Language Understanding[C]//Proceedings of NAACL-HLT. 2019: 4171-4186.</w:t>
      </w:r>
    </w:p>
    <w:p>
      <w:pPr>
        <w:pStyle w:val="Reference"/>
        <w:numPr>
          <w:ilvl w:val="0"/>
          <w:numId w:val="8"/>
        </w:numPr>
      </w:pPr>
      <w:r>
        <w:t xml:space="preserve">Vaswani A, Shazeer N, Parmar N, et al. Attention Is All You Need[C]//Advances in Neural Information Processing Systems. 2017: 5998-6008.</w:t>
      </w:r>
    </w:p>
    <w:p>
      <w:pPr>
        <w:pStyle w:val="Reference"/>
        <w:numPr>
          <w:ilvl w:val="0"/>
          <w:numId w:val="8"/>
        </w:numPr>
      </w:pPr>
      <w:r>
        <w:t xml:space="preserve">Taghipour K, Ng H T. A Neural Approach to Automated Essay Scoring[C]//Proceedings of EMNLP. 2016: 1882-1891.</w:t>
      </w:r>
    </w:p>
    <w:p>
      <w:pPr>
        <w:pStyle w:val="Reference"/>
        <w:numPr>
          <w:ilvl w:val="0"/>
          <w:numId w:val="8"/>
        </w:numPr>
      </w:pPr>
      <w:r>
        <w:t xml:space="preserve">Phandi P, Chai K M A, Ng H T. Flexible Domain Adaptation for Automated Essay Scoring Using Correlated Linear Regression[C]//Proceedings of EMNLP. 2015: 431-439.</w:t>
      </w:r>
    </w:p>
    <w:p>
      <w:pPr>
        <w:pStyle w:val="Reference"/>
        <w:numPr>
          <w:ilvl w:val="0"/>
          <w:numId w:val="8"/>
        </w:numPr>
      </w:pPr>
      <w:r>
        <w:t xml:space="preserve">Shermis M D, Burstein J. Automated Essay Scoring: A Cross-Disciplinary Perspective[M]. Lawrence Erlbaum Associates, 2003.</w:t>
      </w:r>
    </w:p>
    <w:p>
      <w:pPr>
        <w:pStyle w:val="Reference"/>
        <w:numPr>
          <w:ilvl w:val="0"/>
          <w:numId w:val="8"/>
        </w:numPr>
      </w:pPr>
      <w:r>
        <w:t xml:space="preserve">Wolf T, Debut L, Sanh V, et al. Transformers: State-of-the-Art Natural Language Processing[C]//Proceedings of EMNLP: System Demonstrations. 2020: 38-45.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80" w:hanging="4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suff w:val="space"/>
      <w:lvlText w:val="1.%1"/>
      <w:lvlJc w:val="left"/>
    </w:lvl>
    <w:lvl w:ilvl="1" w15:tentative="1">
      <w:start w:val="1"/>
      <w:numFmt w:val="decimal"/>
      <w:suff w:val="space"/>
      <w:lvlText w:val="1.%1.%2"/>
      <w:lvlJc w:val="left"/>
    </w:lvl>
  </w:abstractNum>
  <w:abstractNum w:abstractNumId="6" w15:restartNumberingAfterBreak="0">
    <w:multiLevelType w:val="hybridMultilevel"/>
    <w:lvl w:ilvl="0" w15:tentative="1">
      <w:start w:val="1"/>
      <w:numFmt w:val="decimal"/>
      <w:suff w:val="space"/>
      <w:lvlText w:val="2.%1"/>
      <w:lvlJc w:val="left"/>
    </w:lvl>
    <w:lvl w:ilvl="1" w15:tentative="1">
      <w:start w:val="1"/>
      <w:numFmt w:val="decimal"/>
      <w:suff w:val="space"/>
      <w:lvlText w:val="2.%1.%2"/>
      <w:lvlJc w:val="left"/>
    </w:lvl>
  </w:abstractNum>
  <w:abstractNum w:abstractNumId="7" w15:restartNumberingAfterBreak="0">
    <w:multiLevelType w:val="hybridMultilevel"/>
    <w:lvl w:ilvl="0" w15:tentative="1">
      <w:start w:val="1"/>
      <w:numFmt w:val="decimal"/>
      <w:suff w:val="space"/>
      <w:lvlText w:val="3.%1"/>
      <w:lvlJc w:val="left"/>
    </w:lvl>
    <w:lvl w:ilvl="1" w15:tentative="1">
      <w:start w:val="1"/>
      <w:numFmt w:val="decimal"/>
      <w:suff w:val="space"/>
      <w:lvlText w:val="3.%1.%2"/>
      <w:lvlJc w:val="left"/>
    </w:lvl>
  </w:abstractNum>
  <w:abstractNum w:abstractNumId="8" w15:restartNumberingAfterBreak="0">
    <w:multiLevelType w:val="hybridMultilevel"/>
    <w:lvl w:ilvl="0" w15:tentative="1">
      <w:start w:val="1"/>
      <w:numFmt w:val="decimal"/>
      <w:suff w:val="space"/>
      <w:lvlText w:val="4.%1"/>
      <w:lvlJc w:val="left"/>
    </w:lvl>
    <w:lvl w:ilvl="1" w15:tentative="1">
      <w:start w:val="1"/>
      <w:numFmt w:val="decimal"/>
      <w:suff w:val="space"/>
      <w:lvlText w:val="4.%1.%2"/>
      <w:lvlJc w:val="left"/>
    </w:lvl>
  </w:abstractNum>
  <w:abstractNum w:abstractNumId="9" w15:restartNumberingAfterBreak="0">
    <w:multiLevelType w:val="hybridMultilevel"/>
    <w:lvl w:ilvl="0" w15:tentative="1">
      <w:start w:val="1"/>
      <w:numFmt w:val="decimal"/>
      <w:suff w:val="space"/>
      <w:lvlText w:val="5.%1"/>
      <w:lvlJc w:val="left"/>
    </w:lvl>
    <w:lvl w:ilvl="1" w15:tentative="1">
      <w:start w:val="1"/>
      <w:numFmt w:val="decimal"/>
      <w:suff w:val="space"/>
      <w:lvlText w:val="5.%1.%2"/>
      <w:lvlJc w:val="left"/>
    </w:lvl>
  </w:abstractNum>
  <w:abstractNum w:abstractNumId="10" w15:restartNumberingAfterBreak="0">
    <w:multiLevelType w:val="hybridMultilevel"/>
    <w:lvl w:ilvl="0" w15:tentative="1">
      <w:start w:val="1"/>
      <w:numFmt w:val="decimal"/>
      <w:suff w:val="space"/>
      <w:lvlText w:val="6.%1"/>
      <w:lvlJc w:val="left"/>
    </w:lvl>
    <w:lvl w:ilvl="1" w15:tentative="1">
      <w:start w:val="1"/>
      <w:numFmt w:val="decimal"/>
      <w:suff w:val="space"/>
      <w:lvlText w:val="6.%1.%2"/>
      <w:lvlJc w:val="left"/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10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 Math" w:eastAsia="SimSun" w:hAnsi="Cambria Math"/>
        <w:sz w:val="24"/>
        <w:szCs w:val="24"/>
      </w:rPr>
    </w:rPrDefault>
    <w:pPrDefault>
      <w:pPr>
        <w:spacing w:line="240" w:lineRule="auto"/>
        <w:ind w:first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288" w:lineRule="auto"/>
      <w:ind w:firstLine="0"/>
      <w:jc w:val="center"/>
      <w:outlineLvl w:val="0"/>
    </w:pPr>
    <w:rPr>
      <w:rFonts w:ascii="Cambria Math" w:eastAsia="SimHei" w:hAnsi="Cambria Math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line="360" w:lineRule="auto"/>
      <w:ind w:firstLine="0"/>
      <w:jc w:val="left"/>
      <w:outlineLvl w:val="1"/>
    </w:pPr>
    <w:rPr>
      <w:rFonts w:ascii="Cambria Math" w:eastAsia="SimHei" w:hAnsi="Cambria Math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264" w:lineRule="auto"/>
      <w:ind w:firstLine="0"/>
      <w:jc w:val="left"/>
      <w:outlineLvl w:val="2"/>
    </w:pPr>
    <w:rPr>
      <w:rFonts w:ascii="Cambria Math" w:eastAsia="SimHei" w:hAnsi="Cambria Math"/>
      <w:b/>
      <w:bCs/>
      <w:sz w:val="24"/>
      <w:szCs w:val="24"/>
    </w:rPr>
  </w:style>
  <w:style w:type="paragraph" w:styleId="FigureCaption">
    <w:name w:val="Figure Caption"/>
    <w:basedOn w:val="Normal"/>
    <w:pPr>
      <w:spacing w:after="60" w:before="120" w:line="240" w:lineRule="auto"/>
      <w:ind w:firstLine="0"/>
      <w:jc w:val="center"/>
    </w:pPr>
    <w:rPr>
      <w:rFonts w:ascii="Cambria Math" w:eastAsia="SimSun" w:hAnsi="Cambria Math"/>
      <w:b/>
      <w:bCs/>
      <w:sz w:val="22"/>
      <w:szCs w:val="22"/>
    </w:rPr>
  </w:style>
  <w:style w:type="paragraph" w:styleId="TableCaption">
    <w:name w:val="Table Caption"/>
    <w:basedOn w:val="Normal"/>
    <w:pPr>
      <w:spacing w:after="60" w:before="120" w:line="240" w:lineRule="auto"/>
      <w:ind w:firstLine="0"/>
      <w:jc w:val="center"/>
    </w:pPr>
    <w:rPr>
      <w:rFonts w:ascii="Cambria Math" w:eastAsia="SimSun" w:hAnsi="Cambria Math"/>
      <w:b/>
      <w:bCs/>
      <w:sz w:val="22"/>
      <w:szCs w:val="22"/>
    </w:rPr>
  </w:style>
  <w:style w:type="paragraph" w:styleId="Reference">
    <w:name w:val="Reference"/>
    <w:basedOn w:val="Normal"/>
    <w:pPr>
      <w:spacing w:line="240" w:lineRule="auto"/>
      <w:ind w:left="480" w:hanging="480" w:firstLine="0"/>
    </w:pPr>
    <w:rPr>
      <w:rFonts w:ascii="Cambria Math" w:eastAsia="SimSun" w:hAnsi="Cambria Math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2026-06-14T13:38:40.539Z</dcterms:created>
  <dcterms:modified xsi:type="dcterms:W3CDTF">2026-06-14T13:38:40.539Z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