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Grundlagen: Was ist OpenVZ?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Voraussetzungen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Server vorbereiten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3.1 Server-Betriebssystem installieren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3.2 OpenVZ installieren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Virtuelle Maschinen (Container) einrichten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4.1 Vorlagen (Templates) herunterladen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4.2 Container erstellen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4.3 Container konfigurieren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4.4 Container starten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Webhosting-Dienste installieren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5.1 Webserver (Apache/Nginx) installieren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5.2 PHP und MySQL/MariaDB installieren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5.3 Domain und DNS konfigurieren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Verwaltungs- und Automatisierungstools installieren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6.1 Web-Hosting-Kontrollpanel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6.2 Automatisierung mit WHMCS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Sicherheit und Backups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7.1 Firewall konfigurieren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7.2 SSL-Zertifikate (HTTPS)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7.3 Backups einrichten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Anbieten der Webhosting-Dienste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8.1 Preismodell festlegen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8.2 Website und Zahlungsabwicklung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8.3 Kundensupport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