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21620"/>
          <w:sz w:val="32"/>
        </w:rPr>
        <w:t>FORGEGUARD SYSTEM PROTOTYPE</w:t>
      </w:r>
    </w:p>
    <w:p>
      <w:pPr>
        <w:jc w:val="center"/>
      </w:pPr>
      <w:r>
        <w:rPr>
          <w:rFonts w:ascii="Arial" w:hAnsi="Arial"/>
          <w:i/>
          <w:sz w:val="24"/>
        </w:rPr>
        <w:t>System Screenshots &amp; Functional Descriptions</w:t>
      </w:r>
    </w:p>
    <w:p>
      <w:pPr>
        <w:jc w:val="center"/>
      </w:pPr>
      <w:r>
        <w:rPr>
          <w:color w:val="64748B"/>
          <w:sz w:val="19"/>
        </w:rPr>
        <w:t>Notre Dame of Midsayap College | College of Information Technology and Engineering</w:t>
        <w:br/>
        <w:t>BSCS Thesis Writing 1 (A.Y. 2026-2027)</w:t>
        <w:br/>
        <w:t>Approved Title: Receipt or Deceit: A Cross-Architecture Analysis of Convolutional Neural Network Models in Detecting Forged Digital Transaction Receipts</w:t>
        <w:br/>
        <w:t>Authors: Daniela S. Ungab &amp; Rogie P. Bacanto | Adviser: Ms. Doris Ann Mariano</w:t>
      </w:r>
    </w:p>
    <w:p>
      <w:pPr>
        <w:spacing w:after="240"/>
      </w:pPr>
    </w:p>
    <w:p>
      <w:pPr>
        <w:pStyle w:val="Heading2"/>
      </w:pPr>
      <w:r>
        <w:rPr>
          <w:rFonts w:ascii="Arial" w:hAnsi="Arial"/>
          <w:b/>
          <w:color w:val="1E293B"/>
          <w:sz w:val="22"/>
        </w:rPr>
        <w:t>Exhibit 01: System Landing Dashboard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556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55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</w:pPr>
      <w:r>
        <w:rPr>
          <w:rFonts w:ascii="Arial" w:hAnsi="Arial"/>
          <w:color w:val="475569"/>
          <w:sz w:val="20"/>
        </w:rPr>
        <w:t>The primary entry point for ForgeGuard featuring drag-and-drop receipt intake (JPEG, PNG, WebP) and one-click benchmark exhibit buttons (Authentic, Edited, Generated) for immediate live demonstration without manual uploads.</w:t>
      </w:r>
    </w:p>
    <w:p>
      <w:pPr>
        <w:pStyle w:val="Heading2"/>
      </w:pPr>
      <w:r>
        <w:rPr>
          <w:rFonts w:ascii="Arial" w:hAnsi="Arial"/>
          <w:b/>
          <w:color w:val="1E293B"/>
          <w:sz w:val="22"/>
        </w:rPr>
        <w:t>Exhibit 02: Authentic Receipt Multi-CNN Verification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556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uthentic_receipt_analys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55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</w:pPr>
      <w:r>
        <w:rPr>
          <w:rFonts w:ascii="Arial" w:hAnsi="Arial"/>
          <w:color w:val="475569"/>
          <w:sz w:val="20"/>
        </w:rPr>
        <w:t>Diagnostic output evaluating an authentic downloadable GCash payment confirmation slip. Basic CNN verifies authenticity at 100.0% confidence (inference latency: 116.6 ms). MobileNetV2 corroborates at 92.7% (815.4 ms), while ResNet50 baseline is documented.</w:t>
      </w:r>
    </w:p>
    <w:p>
      <w:pPr>
        <w:pStyle w:val="Heading2"/>
      </w:pPr>
      <w:r>
        <w:rPr>
          <w:rFonts w:ascii="Arial" w:hAnsi="Arial"/>
          <w:b/>
          <w:color w:val="1E293B"/>
          <w:sz w:val="22"/>
        </w:rPr>
        <w:t>Exhibit 03: Digitally Edited Receipt Forgery Detection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556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orged_edited_receipt_analys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55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</w:pPr>
      <w:r>
        <w:rPr>
          <w:rFonts w:ascii="Arial" w:hAnsi="Arial"/>
          <w:color w:val="475569"/>
          <w:sz w:val="20"/>
        </w:rPr>
        <w:t>Forensic evaluation of a digitally tampered transaction slip with spliced amount fields. Basic CNN flags the forgery at 100.0% confidence (126.5 ms) and MobileNetV2 detects it at 98.4% (911.7 ms) with clear fraud indicators.</w:t>
      </w:r>
    </w:p>
    <w:p>
      <w:pPr>
        <w:pStyle w:val="Heading2"/>
      </w:pPr>
      <w:r>
        <w:rPr>
          <w:rFonts w:ascii="Arial" w:hAnsi="Arial"/>
          <w:b/>
          <w:color w:val="1E293B"/>
          <w:sz w:val="22"/>
        </w:rPr>
        <w:t>Exhibit 04: Error Level Analysis (ELA) Residual Matrix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556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la_residual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55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</w:pPr>
      <w:r>
        <w:rPr>
          <w:rFonts w:ascii="Arial" w:hAnsi="Arial"/>
          <w:color w:val="475569"/>
          <w:sz w:val="20"/>
        </w:rPr>
        <w:t>Error Level Analysis decomposition at Q=90 with 15.0x residual amplification, highlighting high-frequency compression error boundaries surrounding forged text fields to expose inconsistent quantization tables.</w:t>
      </w:r>
    </w:p>
    <w:p>
      <w:pPr>
        <w:pStyle w:val="Heading2"/>
      </w:pPr>
      <w:r>
        <w:rPr>
          <w:rFonts w:ascii="Arial" w:hAnsi="Arial"/>
          <w:b/>
          <w:color w:val="1E293B"/>
          <w:sz w:val="22"/>
        </w:rPr>
        <w:t>Exhibit 05: Dynamic Thermal Heatmap Localization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556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amper_heatmap_overla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55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</w:pPr>
      <w:r>
        <w:rPr>
          <w:rFonts w:ascii="Arial" w:hAnsi="Arial"/>
          <w:color w:val="475569"/>
          <w:sz w:val="20"/>
        </w:rPr>
        <w:t>Thermal colormap overlay synthesized from spatial variance gradients, providing human auditors with visual localization of tampered regions while leaving unaltered receipt areas unshaded.</w:t>
      </w:r>
    </w:p>
    <w:p>
      <w:pPr>
        <w:pStyle w:val="Heading2"/>
      </w:pPr>
      <w:r>
        <w:rPr>
          <w:rFonts w:ascii="Arial" w:hAnsi="Arial"/>
          <w:b/>
          <w:color w:val="1E293B"/>
          <w:sz w:val="22"/>
        </w:rPr>
        <w:t>Exhibit 06: Overall Architecture Benchmark Matrix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556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overall_architecture_benchmar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55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</w:pPr>
      <w:r>
        <w:rPr>
          <w:rFonts w:ascii="Arial" w:hAnsi="Arial"/>
          <w:color w:val="475569"/>
          <w:sz w:val="20"/>
        </w:rPr>
        <w:t>Comprehensive cross-architecture benchmark matrix evaluating Basic CNN, MobileNetV2, and ResNet50 across Standard and Messenger-compressed conditions. Details Accuracy, Compression Delta, Precision, Recall, F1-Score, Latency, Peak RAM, Parameters, and Section 2.10 Composite Scores.</w:t>
      </w:r>
    </w:p>
    <w:p>
      <w:pPr>
        <w:pStyle w:val="Heading2"/>
      </w:pPr>
      <w:r>
        <w:rPr>
          <w:rFonts w:ascii="Arial" w:hAnsi="Arial"/>
          <w:b/>
          <w:color w:val="1E293B"/>
          <w:sz w:val="22"/>
        </w:rPr>
        <w:t>Exhibit 07: Empirical Dataset Composition Matrix (Table 1)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556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empirical_dataset_com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55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</w:pPr>
      <w:r>
        <w:rPr>
          <w:rFonts w:ascii="Arial" w:hAnsi="Arial"/>
          <w:color w:val="475569"/>
          <w:sz w:val="20"/>
        </w:rPr>
        <w:t>Fully centered layout of the 1,000-image base receipt corpus: 900 experimental images (60% Train: 540, 15% Val: 135, 25% Test: 225) + 100 unseen-tool holdout validation images (50 Authentic + 50 Forged).</w:t>
      </w:r>
    </w:p>
    <w:p>
      <w:pPr>
        <w:pStyle w:val="Heading2"/>
      </w:pPr>
      <w:r>
        <w:rPr>
          <w:rFonts w:ascii="Arial" w:hAnsi="Arial"/>
          <w:b/>
          <w:color w:val="1E293B"/>
          <w:sz w:val="22"/>
        </w:rPr>
        <w:t>Exhibit 08: Benchmark Records Telemetry &amp; Audit Log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556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benchmark_records_telemet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55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</w:pPr>
      <w:r>
        <w:rPr>
          <w:rFonts w:ascii="Arial" w:hAnsi="Arial"/>
          <w:color w:val="475569"/>
          <w:sz w:val="20"/>
        </w:rPr>
        <w:t>Forensic audit trail database persisting Timestamp, Architecture, Prediction Verdict, Confidence Probability, Processing Time in ms, and System Memory Load in MB, fulfilling database logging criteria.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