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Times New Roman" w:cs="Times New Roman" w:eastAsia="Times New Roman" w:hAnsi="Times New Roman"/>
          <w:b w:val="1"/>
          <w:bCs w:val="1"/>
          <w:sz w:val="24"/>
          <w:szCs w:val="24"/>
          <w:rtl w:val="0"/>
        </w:rPr>
        <w:t xml:space="preserve">CONCRETE CRACK CLASSIFICATION AND SEVERITY GRADING</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Times New Roman" w:cs="Times New Roman" w:eastAsia="Times New Roman" w:hAnsi="Times New Roman"/>
          <w:b w:val="1"/>
          <w:bCs w:val="1"/>
          <w:sz w:val="24"/>
          <w:szCs w:val="24"/>
          <w:rtl w:val="0"/>
        </w:rPr>
        <w:t xml:space="preserve">USING EXPLAINABLE TRANSFER LEARNING</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1828800</wp:posOffset>
            </wp:positionH>
            <wp:positionV relativeFrom="paragraph">
              <wp:posOffset>146038</wp:posOffset>
            </wp:positionV>
            <wp:extent cx="1828800" cy="1828800"/>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28800" cy="1828800"/>
                    </a:xfrm>
                    <a:prstGeom prst="rect"/>
                    <a:ln/>
                  </pic:spPr>
                </pic:pic>
              </a:graphicData>
            </a:graphic>
          </wp:anchor>
        </w:drawing>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b w:val="1"/>
          <w:bCs w:val="1"/>
          <w:sz w:val="24"/>
          <w:szCs w:val="24"/>
          <w:rtl w:val="0"/>
        </w:rPr>
        <w:t xml:space="preserve">ROGIE P. BACANTO</w:t>
      </w:r>
      <w:r w:rsidDel="00000000" w:rsidR="00000000" w:rsidRPr="00000000">
        <w:rPr>
          <w:rtl w:val="0"/>
        </w:rPr>
      </w:r>
    </w:p>
    <w:p w:rsidR="00000000" w:rsidDel="00000000" w:rsidP="00000000" w:rsidRDefault="00000000" w:rsidRPr="00000000" w14:paraId="00000011">
      <w:pPr>
        <w:jc w:val="center"/>
        <w:rPr/>
      </w:pPr>
      <w:r w:rsidDel="00000000" w:rsidR="00000000" w:rsidRPr="00000000">
        <w:rPr>
          <w:b w:val="1"/>
          <w:bCs w:val="1"/>
          <w:sz w:val="24"/>
          <w:szCs w:val="24"/>
          <w:rtl w:val="0"/>
        </w:rPr>
        <w:t xml:space="preserve">DANIELA S. UNGAB</w:t>
      </w:r>
      <w:r w:rsidDel="00000000" w:rsidR="00000000" w:rsidRPr="00000000">
        <w:rPr>
          <w:rtl w:val="0"/>
        </w:rPr>
      </w:r>
    </w:p>
    <w:p w:rsidR="00000000" w:rsidDel="00000000" w:rsidP="00000000" w:rsidRDefault="00000000" w:rsidRPr="00000000" w14:paraId="00000012">
      <w:pPr>
        <w:spacing w:line="480" w:lineRule="auto"/>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Fonts w:ascii="Times New Roman" w:cs="Times New Roman" w:eastAsia="Times New Roman" w:hAnsi="Times New Roman"/>
          <w:b w:val="1"/>
          <w:bCs w:val="1"/>
          <w:sz w:val="24"/>
          <w:szCs w:val="24"/>
          <w:rtl w:val="0"/>
        </w:rPr>
        <w:t xml:space="preserve">Bachelor of Science in Computer Science</w:t>
      </w:r>
      <w:r w:rsidDel="00000000" w:rsidR="00000000" w:rsidRPr="00000000">
        <w:rPr>
          <w:rtl w:val="0"/>
        </w:rPr>
      </w:r>
    </w:p>
    <w:p w:rsidR="00000000" w:rsidDel="00000000" w:rsidP="00000000" w:rsidRDefault="00000000" w:rsidRPr="00000000" w14:paraId="00000014">
      <w:pPr>
        <w:spacing w:line="480" w:lineRule="auto"/>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Fonts w:ascii="Times New Roman" w:cs="Times New Roman" w:eastAsia="Times New Roman" w:hAnsi="Times New Roman"/>
          <w:sz w:val="24"/>
          <w:szCs w:val="24"/>
          <w:rtl w:val="0"/>
        </w:rPr>
        <w:t xml:space="preserve">Notre Dame of Midsayap College</w:t>
      </w:r>
      <w:r w:rsidDel="00000000" w:rsidR="00000000" w:rsidRPr="00000000">
        <w:rPr>
          <w:rtl w:val="0"/>
        </w:rPr>
      </w:r>
    </w:p>
    <w:p w:rsidR="00000000" w:rsidDel="00000000" w:rsidP="00000000" w:rsidRDefault="00000000" w:rsidRPr="00000000" w14:paraId="00000016">
      <w:pPr>
        <w:jc w:val="center"/>
        <w:rPr/>
      </w:pPr>
      <w:r w:rsidDel="00000000" w:rsidR="00000000" w:rsidRPr="00000000">
        <w:rPr>
          <w:rFonts w:ascii="Times New Roman" w:cs="Times New Roman" w:eastAsia="Times New Roman" w:hAnsi="Times New Roman"/>
          <w:sz w:val="24"/>
          <w:szCs w:val="24"/>
          <w:rtl w:val="0"/>
        </w:rPr>
        <w:t xml:space="preserve">Midsayap, Cotabato</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jc w:val="center"/>
        <w:rPr/>
        <w:sectPr>
          <w:pgSz w:h="15840" w:w="12240" w:orient="portrait"/>
          <w:pgMar w:bottom="1440" w:top="1728" w:left="2160" w:right="1440" w:header="708" w:footer="708"/>
          <w:pgNumType w:start="1"/>
        </w:sectPr>
      </w:pPr>
      <w:r w:rsidDel="00000000" w:rsidR="00000000" w:rsidRPr="00000000">
        <w:rPr>
          <w:rFonts w:ascii="Times New Roman" w:cs="Times New Roman" w:eastAsia="Times New Roman" w:hAnsi="Times New Roman"/>
          <w:sz w:val="24"/>
          <w:szCs w:val="24"/>
          <w:rtl w:val="0"/>
        </w:rPr>
        <w:t xml:space="preserve">November 2026</w:t>
      </w:r>
      <w:r w:rsidDel="00000000" w:rsidR="00000000" w:rsidRPr="00000000">
        <w:rPr>
          <w:rtl w:val="0"/>
        </w:rPr>
      </w:r>
    </w:p>
    <w:p w:rsidR="00000000" w:rsidDel="00000000" w:rsidP="00000000" w:rsidRDefault="00000000" w:rsidRPr="00000000" w14:paraId="00000019">
      <w:pPr>
        <w:spacing w:after="0" w:lineRule="auto"/>
        <w:jc w:val="center"/>
        <w:rPr/>
      </w:pPr>
      <w:r w:rsidDel="00000000" w:rsidR="00000000" w:rsidRPr="00000000">
        <w:rPr>
          <w:rFonts w:ascii="Times New Roman" w:cs="Times New Roman" w:eastAsia="Times New Roman" w:hAnsi="Times New Roman"/>
          <w:b w:val="1"/>
          <w:bCs w:val="1"/>
          <w:sz w:val="24"/>
          <w:szCs w:val="24"/>
          <w:rtl w:val="0"/>
        </w:rPr>
        <w:t xml:space="preserve">Chapter 1</w:t>
      </w:r>
      <w:r w:rsidDel="00000000" w:rsidR="00000000" w:rsidRPr="00000000">
        <w:rPr>
          <w:rtl w:val="0"/>
        </w:rPr>
      </w:r>
    </w:p>
    <w:p w:rsidR="00000000" w:rsidDel="00000000" w:rsidP="00000000" w:rsidRDefault="00000000" w:rsidRPr="00000000" w14:paraId="0000001A">
      <w:pPr>
        <w:spacing w:after="480" w:lineRule="auto"/>
        <w:jc w:val="center"/>
        <w:rPr/>
      </w:pPr>
      <w:r w:rsidDel="00000000" w:rsidR="00000000" w:rsidRPr="00000000">
        <w:rPr>
          <w:rFonts w:ascii="Times New Roman" w:cs="Times New Roman" w:eastAsia="Times New Roman" w:hAnsi="Times New Roman"/>
          <w:b w:val="1"/>
          <w:bCs w:val="1"/>
          <w:sz w:val="24"/>
          <w:szCs w:val="24"/>
          <w:rtl w:val="0"/>
        </w:rPr>
        <w:t xml:space="preserve">Introduction</w:t>
      </w:r>
      <w:r w:rsidDel="00000000" w:rsidR="00000000" w:rsidRPr="00000000">
        <w:rPr>
          <w:rtl w:val="0"/>
        </w:rPr>
      </w:r>
    </w:p>
    <w:p w:rsidR="00000000" w:rsidDel="00000000" w:rsidP="00000000" w:rsidRDefault="00000000" w:rsidRPr="00000000" w14:paraId="0000001B">
      <w:pPr>
        <w:spacing w:after="240" w:lineRule="auto"/>
        <w:jc w:val="center"/>
        <w:rPr/>
      </w:pPr>
      <w:r w:rsidDel="00000000" w:rsidR="00000000" w:rsidRPr="00000000">
        <w:rPr>
          <w:rFonts w:ascii="Times New Roman" w:cs="Times New Roman" w:eastAsia="Times New Roman" w:hAnsi="Times New Roman"/>
          <w:b w:val="1"/>
          <w:bCs w:val="1"/>
          <w:sz w:val="24"/>
          <w:szCs w:val="24"/>
          <w:rtl w:val="0"/>
        </w:rPr>
        <w:t xml:space="preserve">Background of the Study</w:t>
      </w:r>
      <w:r w:rsidDel="00000000" w:rsidR="00000000" w:rsidRPr="00000000">
        <w:rPr>
          <w:rtl w:val="0"/>
        </w:rPr>
      </w:r>
    </w:p>
    <w:p w:rsidR="00000000" w:rsidDel="00000000" w:rsidP="00000000" w:rsidRDefault="00000000" w:rsidRPr="00000000" w14:paraId="0000001C">
      <w:pPr>
        <w:spacing w:after="240" w:line="480" w:lineRule="auto"/>
        <w:ind w:firstLine="720"/>
        <w:jc w:val="both"/>
        <w:rPr/>
      </w:pPr>
      <w:r w:rsidDel="00000000" w:rsidR="00000000" w:rsidRPr="00000000">
        <w:rPr>
          <w:rFonts w:ascii="Times New Roman" w:cs="Times New Roman" w:eastAsia="Times New Roman" w:hAnsi="Times New Roman"/>
          <w:sz w:val="24"/>
          <w:szCs w:val="24"/>
          <w:rtl w:val="0"/>
        </w:rPr>
        <w:t xml:space="preserve">Concrete cracking is one of the earliest and most visible warning signs of structural deterioration, yet the tools most commonly used to assess it, unaided visual inspection, remain slow, subjective, and inconsistent between inspectors. Recent work applying convolutional neural networks to this exact problem has shown the technology is genuinely capable: one image-based crack detection algorithm achieved F1-scores as high as 98.87 percent on bridge deck surfaces [1], and a 2025 peer-reviewed review identified CNNs as the current state-of-the-art for automated, image-based defect detection, with drone-assisted inspection already reporting 40 to 60 percent reductions in inspection cost where deployed [2]. The technical capability to classify cracks accurately is therefore well established; what remains underdeveloped is packaging that capability into a tool that also grades severity and explains its own reasoning, both of which matter enormously once an inspection result is expected to inform real repair or evacuation decisions rather than sit in a research paper.</w:t>
      </w:r>
      <w:r w:rsidDel="00000000" w:rsidR="00000000" w:rsidRPr="00000000">
        <w:rPr>
          <w:rtl w:val="0"/>
        </w:rPr>
      </w:r>
    </w:p>
    <w:p w:rsidR="00000000" w:rsidDel="00000000" w:rsidP="00000000" w:rsidRDefault="00000000" w:rsidRPr="00000000" w14:paraId="0000001D">
      <w:pPr>
        <w:spacing w:after="24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This gap is not abstract for the Philippines. The country sits along the Pacific Ring of Fire, and the West Valley Fault beneath Metro Manila is now considered overdue for rupture, with the Metro Manila Earthquake Impact Reduction Study projecting up to 34,000 deaths, 100,000 injuries, and over ₱2.4 trillion in economic losses if “the Big One” strikes [3]. That risk is not hypothetical or distant: a magnitude 6.9 earthquake struck Cebu in September 2025, prompting DPWH to inspect over 1,000 school buildings across 134 damaged schools for structural safety [3], and a magnitude 7.8 earthquake struck Mindanao in June 2026, causing at least eight deaths and roughly ₱1 billion in damage in General Santos City alone, with DPWH again dispatched to survey and prioritize infrastructure repair [4]. Separately, the collapse of a bridge in Isabela prompted lawmakers to publicly call on DPWH to conduct a nationwide review of the structural integrity of public infrastructure [5]. In response to this mounting pressure, DPWH reported completing structural assessments of over 21,000 public buildings nationwide in 2025 alone [3], a volume that underscores just how valuable a faster, more consistent, first-pass screening tool could be for engineers who are otherwise stretched thin across thousands of structures.</w:t>
      </w:r>
      <w:r w:rsidDel="00000000" w:rsidR="00000000" w:rsidRPr="00000000">
        <w:rPr>
          <w:rtl w:val="0"/>
        </w:rPr>
      </w:r>
    </w:p>
    <w:p w:rsidR="00000000" w:rsidDel="00000000" w:rsidP="00000000" w:rsidRDefault="00000000" w:rsidRPr="00000000" w14:paraId="0000001E">
      <w:pPr>
        <w:spacing w:after="240" w:line="480" w:lineRule="auto"/>
        <w:ind w:firstLine="720"/>
        <w:jc w:val="both"/>
        <w:rPr/>
      </w:pPr>
      <w:r w:rsidDel="00000000" w:rsidR="00000000" w:rsidRPr="00000000">
        <w:rPr>
          <w:rFonts w:ascii="Times New Roman" w:cs="Times New Roman" w:eastAsia="Times New Roman" w:hAnsi="Times New Roman"/>
          <w:sz w:val="24"/>
          <w:szCs w:val="24"/>
          <w:rtl w:val="0"/>
        </w:rPr>
        <w:t xml:space="preserve">Despite this clear operational need, most published crack-detection research stops at classification accuracy and treats the model as a black box, offering little insight into why a crack was flagged as it was, and rarely translating that classification into the kind of severity tiering (e.g., hairline, minor, moderate, severe) that field guidebooks such as the IAEA’s structural assessment criteria already use to prioritize repair action. For a tool to be genuinely useful to an engineer doing rapid post-disaster triage across dozens or hundreds of structures, it needs to do two things at once: grade how serious a given crack likely is, and show enough of its reasoning that the engineer can trust, question, or override that judgment rather than accepting it blindly.</w:t>
      </w:r>
      <w:r w:rsidDel="00000000" w:rsidR="00000000" w:rsidRPr="00000000">
        <w:rPr>
          <w:rtl w:val="0"/>
        </w:rPr>
      </w:r>
    </w:p>
    <w:p w:rsidR="00000000" w:rsidDel="00000000" w:rsidP="00000000" w:rsidRDefault="00000000" w:rsidRPr="00000000" w14:paraId="0000001F">
      <w:pPr>
        <w:spacing w:after="24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This is the gap this study addresses. Using transfer learning, fine-tuning a pretrained convolutional neural network rather than training one from scratch, this research aims to build a model that both classifies concrete cracks and grades their severity into tiers consistent with existing structural inspection standards, while applying explainability techniques (such as Grad-CAM) to visualize which regions of the image most influenced each classification. In doing so, this study aims to contribute a practical, transparent screening aid suited to the frequent, high-volume structural assessments the Philippines’ disaster-prone environment continues to demand.</w:t>
      </w:r>
      <w:r w:rsidDel="00000000" w:rsidR="00000000" w:rsidRPr="00000000">
        <w:rPr>
          <w:rtl w:val="0"/>
        </w:rPr>
      </w:r>
    </w:p>
    <w:p w:rsidR="00000000" w:rsidDel="00000000" w:rsidP="00000000" w:rsidRDefault="00000000" w:rsidRPr="00000000" w14:paraId="00000020">
      <w:pPr>
        <w:spacing w:after="240" w:before="240" w:lineRule="auto"/>
        <w:jc w:val="center"/>
        <w:rPr/>
      </w:pPr>
      <w:r w:rsidDel="00000000" w:rsidR="00000000" w:rsidRPr="00000000">
        <w:rPr>
          <w:rFonts w:ascii="Times New Roman" w:cs="Times New Roman" w:eastAsia="Times New Roman" w:hAnsi="Times New Roman"/>
          <w:b w:val="1"/>
          <w:bCs w:val="1"/>
          <w:sz w:val="24"/>
          <w:szCs w:val="24"/>
          <w:rtl w:val="0"/>
        </w:rPr>
        <w:t xml:space="preserve">Objectives of the Study</w:t>
      </w:r>
      <w:r w:rsidDel="00000000" w:rsidR="00000000" w:rsidRPr="00000000">
        <w:rPr>
          <w:rtl w:val="0"/>
        </w:rPr>
      </w:r>
    </w:p>
    <w:p w:rsidR="00000000" w:rsidDel="00000000" w:rsidP="00000000" w:rsidRDefault="00000000" w:rsidRPr="00000000" w14:paraId="00000021">
      <w:pPr>
        <w:spacing w:after="24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This study aims to design, develop, and evaluate a concrete crack classification and severity grading model using explainable transfer learning. Specifically, this study seeks to:</w:t>
      </w:r>
      <w:r w:rsidDel="00000000" w:rsidR="00000000" w:rsidRPr="00000000">
        <w:rPr>
          <w:rtl w:val="0"/>
        </w:rPr>
      </w:r>
    </w:p>
    <w:p w:rsidR="00000000" w:rsidDel="00000000" w:rsidP="00000000" w:rsidRDefault="00000000" w:rsidRPr="00000000" w14:paraId="00000022">
      <w:pPr>
        <w:spacing w:after="120" w:line="480" w:lineRule="auto"/>
        <w:ind w:left="720" w:firstLine="0"/>
        <w:rPr/>
      </w:pPr>
      <w:r w:rsidDel="00000000" w:rsidR="00000000" w:rsidRPr="00000000">
        <w:rPr>
          <w:rFonts w:ascii="Times New Roman" w:cs="Times New Roman" w:eastAsia="Times New Roman" w:hAnsi="Times New Roman"/>
          <w:sz w:val="24"/>
          <w:szCs w:val="24"/>
          <w:rtl w:val="0"/>
        </w:rPr>
        <w:t xml:space="preserve">1. Fine-tune a pretrained convolutional neural network (transfer learning) to classify concrete surface images as cracked or non-cracked.</w:t>
      </w:r>
      <w:r w:rsidDel="00000000" w:rsidR="00000000" w:rsidRPr="00000000">
        <w:rPr>
          <w:rtl w:val="0"/>
        </w:rPr>
      </w:r>
    </w:p>
    <w:p w:rsidR="00000000" w:rsidDel="00000000" w:rsidP="00000000" w:rsidRDefault="00000000" w:rsidRPr="00000000" w14:paraId="00000023">
      <w:pPr>
        <w:spacing w:after="120" w:line="480" w:lineRule="auto"/>
        <w:ind w:left="720" w:firstLine="0"/>
        <w:rPr/>
      </w:pPr>
      <w:r w:rsidDel="00000000" w:rsidR="00000000" w:rsidRPr="00000000">
        <w:rPr>
          <w:rFonts w:ascii="Times New Roman" w:cs="Times New Roman" w:eastAsia="Times New Roman" w:hAnsi="Times New Roman"/>
          <w:sz w:val="24"/>
          <w:szCs w:val="24"/>
          <w:rtl w:val="0"/>
        </w:rPr>
        <w:t xml:space="preserve">2. Extend the model to grade the severity of detected cracks into standard tiers (e.g., hairline, minor, moderate, severe) based on established structural inspection criteria.</w:t>
      </w:r>
      <w:r w:rsidDel="00000000" w:rsidR="00000000" w:rsidRPr="00000000">
        <w:rPr>
          <w:rtl w:val="0"/>
        </w:rPr>
      </w:r>
    </w:p>
    <w:p w:rsidR="00000000" w:rsidDel="00000000" w:rsidP="00000000" w:rsidRDefault="00000000" w:rsidRPr="00000000" w14:paraId="00000024">
      <w:pPr>
        <w:spacing w:after="120" w:line="480" w:lineRule="auto"/>
        <w:ind w:left="720" w:firstLine="0"/>
        <w:rPr/>
      </w:pPr>
      <w:r w:rsidDel="00000000" w:rsidR="00000000" w:rsidRPr="00000000">
        <w:rPr>
          <w:rFonts w:ascii="Times New Roman" w:cs="Times New Roman" w:eastAsia="Times New Roman" w:hAnsi="Times New Roman"/>
          <w:sz w:val="24"/>
          <w:szCs w:val="24"/>
          <w:rtl w:val="0"/>
        </w:rPr>
        <w:t xml:space="preserve">3. Integrate an explainability method (e.g., Grad-CAM) that visually highlights the image regions most influential to each classification and severity grading decision.</w:t>
      </w:r>
      <w:r w:rsidDel="00000000" w:rsidR="00000000" w:rsidRPr="00000000">
        <w:rPr>
          <w:rtl w:val="0"/>
        </w:rPr>
      </w:r>
    </w:p>
    <w:p w:rsidR="00000000" w:rsidDel="00000000" w:rsidP="00000000" w:rsidRDefault="00000000" w:rsidRPr="00000000" w14:paraId="00000025">
      <w:pPr>
        <w:spacing w:after="120" w:line="480" w:lineRule="auto"/>
        <w:ind w:left="720" w:firstLine="0"/>
        <w:rPr/>
      </w:pPr>
      <w:r w:rsidDel="00000000" w:rsidR="00000000" w:rsidRPr="00000000">
        <w:rPr>
          <w:rFonts w:ascii="Times New Roman" w:cs="Times New Roman" w:eastAsia="Times New Roman" w:hAnsi="Times New Roman"/>
          <w:sz w:val="24"/>
          <w:szCs w:val="24"/>
          <w:rtl w:val="0"/>
        </w:rPr>
        <w:t xml:space="preserve">4. Evaluate the model’s performance in terms of:</w:t>
      </w:r>
      <w:r w:rsidDel="00000000" w:rsidR="00000000" w:rsidRPr="00000000">
        <w:rPr>
          <w:rtl w:val="0"/>
        </w:rPr>
      </w:r>
    </w:p>
    <w:p w:rsidR="00000000" w:rsidDel="00000000" w:rsidP="00000000" w:rsidRDefault="00000000" w:rsidRPr="00000000" w14:paraId="00000026">
      <w:pPr>
        <w:spacing w:after="120" w:line="480" w:lineRule="auto"/>
        <w:ind w:left="1080" w:firstLine="0"/>
        <w:rPr/>
      </w:pPr>
      <w:r w:rsidDel="00000000" w:rsidR="00000000" w:rsidRPr="00000000">
        <w:rPr>
          <w:rFonts w:ascii="Times New Roman" w:cs="Times New Roman" w:eastAsia="Times New Roman" w:hAnsi="Times New Roman"/>
          <w:sz w:val="24"/>
          <w:szCs w:val="24"/>
          <w:rtl w:val="0"/>
        </w:rPr>
        <w:t xml:space="preserve">4.1. Classification accuracy, precision, recall, and F1-score</w:t>
      </w:r>
      <w:r w:rsidDel="00000000" w:rsidR="00000000" w:rsidRPr="00000000">
        <w:rPr>
          <w:rtl w:val="0"/>
        </w:rPr>
      </w:r>
    </w:p>
    <w:p w:rsidR="00000000" w:rsidDel="00000000" w:rsidP="00000000" w:rsidRDefault="00000000" w:rsidRPr="00000000" w14:paraId="00000027">
      <w:pPr>
        <w:spacing w:after="120" w:line="480" w:lineRule="auto"/>
        <w:ind w:left="1080" w:firstLine="0"/>
        <w:rPr/>
      </w:pPr>
      <w:r w:rsidDel="00000000" w:rsidR="00000000" w:rsidRPr="00000000">
        <w:rPr>
          <w:rFonts w:ascii="Times New Roman" w:cs="Times New Roman" w:eastAsia="Times New Roman" w:hAnsi="Times New Roman"/>
          <w:sz w:val="24"/>
          <w:szCs w:val="24"/>
          <w:rtl w:val="0"/>
        </w:rPr>
        <w:t xml:space="preserve">4.2. Severity grading accuracy against labeled ground truth</w:t>
      </w:r>
      <w:r w:rsidDel="00000000" w:rsidR="00000000" w:rsidRPr="00000000">
        <w:rPr>
          <w:rtl w:val="0"/>
        </w:rPr>
      </w:r>
    </w:p>
    <w:p w:rsidR="00000000" w:rsidDel="00000000" w:rsidP="00000000" w:rsidRDefault="00000000" w:rsidRPr="00000000" w14:paraId="00000028">
      <w:pPr>
        <w:spacing w:after="120" w:line="480" w:lineRule="auto"/>
        <w:ind w:left="720" w:firstLine="0"/>
        <w:rPr/>
        <w:sectPr>
          <w:type w:val="nextPage"/>
          <w:pgSz w:h="15840" w:w="12240" w:orient="portrait"/>
          <w:pgMar w:bottom="1440" w:top="1728" w:left="2160" w:right="1440" w:header="708" w:footer="708"/>
        </w:sectPr>
      </w:pPr>
      <w:r w:rsidDel="00000000" w:rsidR="00000000" w:rsidRPr="00000000">
        <w:rPr>
          <w:rFonts w:ascii="Times New Roman" w:cs="Times New Roman" w:eastAsia="Times New Roman" w:hAnsi="Times New Roman"/>
          <w:sz w:val="24"/>
          <w:szCs w:val="24"/>
          <w:rtl w:val="0"/>
        </w:rPr>
        <w:t xml:space="preserve">5. Assess the interpretability and practical usefulness of the explainability outputs, e.g., through evaluation against inspector judgment or a small user assessment with individuals familiar with structural inspection.</w:t>
      </w:r>
      <w:r w:rsidDel="00000000" w:rsidR="00000000" w:rsidRPr="00000000">
        <w:rPr>
          <w:rtl w:val="0"/>
        </w:rPr>
      </w:r>
    </w:p>
    <w:p w:rsidR="00000000" w:rsidDel="00000000" w:rsidP="00000000" w:rsidRDefault="00000000" w:rsidRPr="00000000" w14:paraId="00000029">
      <w:pPr>
        <w:spacing w:after="240" w:lineRule="auto"/>
        <w:jc w:val="center"/>
        <w:rPr/>
      </w:pPr>
      <w:r w:rsidDel="00000000" w:rsidR="00000000" w:rsidRPr="00000000">
        <w:rPr>
          <w:rFonts w:ascii="Times New Roman" w:cs="Times New Roman" w:eastAsia="Times New Roman" w:hAnsi="Times New Roman"/>
          <w:b w:val="1"/>
          <w:bCs w:val="1"/>
          <w:sz w:val="24"/>
          <w:szCs w:val="24"/>
          <w:rtl w:val="0"/>
        </w:rPr>
        <w:t xml:space="preserve">References</w:t>
      </w:r>
      <w:r w:rsidDel="00000000" w:rsidR="00000000" w:rsidRPr="00000000">
        <w:rPr>
          <w:rtl w:val="0"/>
        </w:rPr>
      </w:r>
    </w:p>
    <w:p w:rsidR="00000000" w:rsidDel="00000000" w:rsidP="00000000" w:rsidRDefault="00000000" w:rsidRPr="00000000" w14:paraId="0000002A">
      <w:pPr>
        <w:spacing w:after="160" w:lineRule="auto"/>
        <w:ind w:left="360" w:hanging="360"/>
        <w:rPr/>
      </w:pPr>
      <w:r w:rsidDel="00000000" w:rsidR="00000000" w:rsidRPr="00000000">
        <w:rPr>
          <w:rFonts w:ascii="Times New Roman" w:cs="Times New Roman" w:eastAsia="Times New Roman" w:hAnsi="Times New Roman"/>
          <w:sz w:val="24"/>
          <w:szCs w:val="24"/>
          <w:rtl w:val="0"/>
        </w:rPr>
        <w:t xml:space="preserve">[1]  Springer Nature, “Condition assessment of concrete structures using automated crack detection method for different concrete surface types based on image processing,” Discover Civil Engineering, 2024. [Online]. Available: https://link.springer.com/article/10.1007/s44290-024-00089-5</w:t>
      </w:r>
      <w:r w:rsidDel="00000000" w:rsidR="00000000" w:rsidRPr="00000000">
        <w:rPr>
          <w:rtl w:val="0"/>
        </w:rPr>
      </w:r>
    </w:p>
    <w:p w:rsidR="00000000" w:rsidDel="00000000" w:rsidP="00000000" w:rsidRDefault="00000000" w:rsidRPr="00000000" w14:paraId="0000002B">
      <w:pPr>
        <w:spacing w:after="160" w:lineRule="auto"/>
        <w:ind w:left="360" w:hanging="360"/>
        <w:rPr/>
      </w:pPr>
      <w:r w:rsidDel="00000000" w:rsidR="00000000" w:rsidRPr="00000000">
        <w:rPr>
          <w:rFonts w:ascii="Times New Roman" w:cs="Times New Roman" w:eastAsia="Times New Roman" w:hAnsi="Times New Roman"/>
          <w:sz w:val="24"/>
          <w:szCs w:val="24"/>
          <w:rtl w:val="0"/>
        </w:rPr>
        <w:t xml:space="preserve">[2]  Dan Cumberland Labs, “Structural Engineering Inspection Cost in 2026: Ranges, Drivers, and Firm Margins,” 2026. [Online]. Available: https://dancumberlandlabs.com/blog/structural-engineering-inspection-cost/</w:t>
      </w:r>
      <w:r w:rsidDel="00000000" w:rsidR="00000000" w:rsidRPr="00000000">
        <w:rPr>
          <w:rtl w:val="0"/>
        </w:rPr>
      </w:r>
    </w:p>
    <w:p w:rsidR="00000000" w:rsidDel="00000000" w:rsidP="00000000" w:rsidRDefault="00000000" w:rsidRPr="00000000" w14:paraId="0000002C">
      <w:pPr>
        <w:spacing w:after="160" w:lineRule="auto"/>
        <w:ind w:left="360" w:hanging="360"/>
        <w:rPr/>
      </w:pPr>
      <w:r w:rsidDel="00000000" w:rsidR="00000000" w:rsidRPr="00000000">
        <w:rPr>
          <w:rFonts w:ascii="Times New Roman" w:cs="Times New Roman" w:eastAsia="Times New Roman" w:hAnsi="Times New Roman"/>
          <w:sz w:val="24"/>
          <w:szCs w:val="24"/>
          <w:rtl w:val="0"/>
        </w:rPr>
        <w:t xml:space="preserve">[3]  Colliers Philippines, “Enhancing earthquake resilience: A new building code for ‘the big one,’” 2025. [Online]. Available: https://www.colliers.com/en-ph/news/enhancing-earthquake-resilience-new-building-code</w:t>
      </w:r>
      <w:r w:rsidDel="00000000" w:rsidR="00000000" w:rsidRPr="00000000">
        <w:rPr>
          <w:rtl w:val="0"/>
        </w:rPr>
      </w:r>
    </w:p>
    <w:p w:rsidR="00000000" w:rsidDel="00000000" w:rsidP="00000000" w:rsidRDefault="00000000" w:rsidRPr="00000000" w14:paraId="0000002D">
      <w:pPr>
        <w:spacing w:after="160" w:lineRule="auto"/>
        <w:ind w:left="360" w:hanging="360"/>
        <w:rPr/>
      </w:pPr>
      <w:r w:rsidDel="00000000" w:rsidR="00000000" w:rsidRPr="00000000">
        <w:rPr>
          <w:rFonts w:ascii="Times New Roman" w:cs="Times New Roman" w:eastAsia="Times New Roman" w:hAnsi="Times New Roman"/>
          <w:sz w:val="24"/>
          <w:szCs w:val="24"/>
          <w:rtl w:val="0"/>
        </w:rPr>
        <w:t xml:space="preserve">[4]  Wikipedia, “2026 Mindanao earthquake,” 2026. [Online]. Available: https://en.wikipedia.org/wiki/2026_Mindanao_earthquake</w:t>
      </w:r>
      <w:r w:rsidDel="00000000" w:rsidR="00000000" w:rsidRPr="00000000">
        <w:rPr>
          <w:rtl w:val="0"/>
        </w:rPr>
      </w:r>
    </w:p>
    <w:p w:rsidR="00000000" w:rsidDel="00000000" w:rsidP="00000000" w:rsidRDefault="00000000" w:rsidRPr="00000000" w14:paraId="0000002E">
      <w:pPr>
        <w:spacing w:after="160" w:lineRule="auto"/>
        <w:ind w:left="360" w:hanging="360"/>
        <w:rPr/>
      </w:pPr>
      <w:r w:rsidDel="00000000" w:rsidR="00000000" w:rsidRPr="00000000">
        <w:rPr>
          <w:rFonts w:ascii="Times New Roman" w:cs="Times New Roman" w:eastAsia="Times New Roman" w:hAnsi="Times New Roman"/>
          <w:sz w:val="24"/>
          <w:szCs w:val="24"/>
          <w:rtl w:val="0"/>
        </w:rPr>
        <w:t xml:space="preserve">[5]  Philstar.com, “Review integrity of Philippines infrastructure, DPWH told,” 2025. [Online]. Available: https://www.philstar.com/headlines/2025/03/31/2432318/review-integrity-philippines-infrastructure-dpwh-told</w:t>
      </w:r>
      <w:r w:rsidDel="00000000" w:rsidR="00000000" w:rsidRPr="00000000">
        <w:rPr>
          <w:rtl w:val="0"/>
        </w:rPr>
      </w:r>
    </w:p>
    <w:sectPr>
      <w:type w:val="nextPage"/>
      <w:pgSz w:h="15840" w:w="12240" w:orient="portrait"/>
      <w:pgMar w:bottom="1440" w:top="1728" w:left="216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vNv7QMFeAMfGSkUwv2+dcyW6MA==">CgMxLjA4AHIhMXZWa0dpUlBtTzBQaWl0X2F5c3QyM2RBN2hwcDhOZUlj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