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Microsoft YaHei" w:hAnsi="Microsoft YaHei" w:eastAsia="Microsoft YaHei"/>
          <w:b/>
          <w:color w:val="B7791F"/>
          <w:sz w:val="18"/>
        </w:rPr>
        <w:t>FRONTEND IMPLEMENTATION SPEC</w:t>
      </w:r>
    </w:p>
    <w:p>
      <w:pPr>
        <w:pStyle w:val="Title"/>
      </w:pPr>
      <w:r>
        <w:rPr>
          <w:rFonts w:ascii="Microsoft YaHei" w:hAnsi="Microsoft YaHei" w:eastAsia="Microsoft YaHei"/>
          <w:b/>
          <w:color w:val="15324A"/>
          <w:sz w:val="50"/>
        </w:rPr>
        <w:t>群雄复刻祭活动界面</w:t>
        <w:br/>
        <w:t>前端施工文档</w:t>
      </w:r>
    </w:p>
    <w:p>
      <w:pPr>
        <w:pStyle w:val="Subtitle"/>
      </w:pPr>
      <w:r>
        <w:rPr>
          <w:rFonts w:ascii="Microsoft YaHei" w:hAnsi="Microsoft YaHei" w:eastAsia="Microsoft YaHei"/>
          <w:b w:val="0"/>
          <w:color w:val="5F6B76"/>
          <w:sz w:val="25"/>
        </w:rPr>
        <w:t>QXFKJPanel · 新版招募卡池 · UI、配置、协议与验收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4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版本 / 日期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V1.0 / 2026-08-26</w:t>
            </w:r>
          </w:p>
        </w:tc>
      </w:tr>
      <w:tr>
        <w:tc>
          <w:tcPr>
            <w:tcW w:type="dxa" w:w="19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施工对象</w:t>
            </w:r>
          </w:p>
        </w:tc>
        <w:tc>
          <w:tcPr>
            <w:tcW w:type="dxa" w:w="74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QXFKJPanel（群雄复刻祭主界面）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代码基线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D:\Project\Gow\GowClient\Tags\1.1.0\project</w:t>
            </w:r>
          </w:p>
        </w:tc>
      </w:tr>
      <w:tr>
        <w:tc>
          <w:tcPr>
            <w:tcW w:type="dxa" w:w="19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美术资源</w:t>
            </w:r>
          </w:p>
        </w:tc>
        <w:tc>
          <w:tcPr>
            <w:tcW w:type="dxa" w:w="74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D:\Project\Gow\UI资源_new\h_活动\26群雄复刻祭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配置表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activerecruitpatern、newrecruit</w:t>
            </w:r>
          </w:p>
        </w:tc>
      </w:tr>
      <w:tr>
        <w:tc>
          <w:tcPr>
            <w:tcW w:type="dxa" w:w="19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核心协议</w:t>
            </w:r>
          </w:p>
        </w:tc>
        <w:tc>
          <w:tcPr>
            <w:tcW w:type="dxa" w:w="74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DceActivityOpt：type=90 抽奖；type=91 换大奖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目标读者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客户端前端、配置、服务端、测试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490"/>
                <w:sz w:val="20"/>
              </w:rPr>
              <w:t xml:space="preserve">施工结论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20"/>
              </w:rPr>
              <w:t>主界面由当前卡池驱动：武将 Spine 与最终大奖同时跟随已选卡池刷新；最终大奖取 newrecruit.rewardtier；奖池选择复用 ItemChoosePanel；周围气泡按 activerecruitpatern.itemShow 从左上开始顺时针展示。抽奖数量只通过 actval=1/10 表达。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需求范围与交付边界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新增并接入 activerecruitpatern、newrecruit 两张配置表的客户端读取与解析。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完成 QXFKJPanel 招募页：卡池展示、Spine 展示、最终大奖、气泡奖品、单抽/十抽、换大奖入口、倒计时与相关入口刷新。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奖池选择界面复用通用 ItemChoosePanel，不新增同功能弹窗；每个选项使用对应卡池的 rewardtier 道具表示。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协议复用 DceActivityOpt；本文不要求重做服务端结算、奖励弹窗、通用道具格、通用 Spine 加载或公共活动倒计时。</w:t>
      </w:r>
    </w:p>
    <w:p>
      <w:pPr>
        <w:pStyle w:val="Heading1"/>
      </w:pPr>
      <w:r>
        <w:t>2. 资源与预制体</w:t>
      </w:r>
    </w:p>
    <w:p>
      <w:pPr>
        <w:pStyle w:val="Heading2"/>
      </w:pPr>
      <w:r>
        <w:t>2.1 美术资源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效果图：D:\Project\Gow\UI资源_new\h_活动\26群雄复刻祭\ 下的“群雄复刻祭_全屏化*.png”。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实际切图：D:\Project\Gow\UI资源_new\h_活动\26群雄复刻祭\切图\。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主界面相关切图前缀为 QXFKJ26_qiyuan_；标题、背景、页签、排行榜及其他子页资源按现有前缀归类接入。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群雄复刻祭主界面效果图：武将展示、最终大奖、气泡奖品与抽奖按钮布局" title="群雄复刻祭主界面效果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群雄复刻祭_全屏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F6B76"/>
          <w:sz w:val="17"/>
        </w:rPr>
        <w:t>图 1  主界面效果图（实现位置与层级以 QXFKJPanel 为准）</w:t>
      </w:r>
    </w:p>
    <w:p>
      <w:pPr>
        <w:pStyle w:val="Heading2"/>
      </w:pPr>
      <w:r>
        <w:t>2.2 预制体核对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已存在节点/意图</w:t>
            </w:r>
          </w:p>
        </w:tc>
        <w:tc>
          <w:tcPr>
            <w:tcW w:type="dxa" w:w="45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施工要求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主根节点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QXFKJPanel / QXFKJSubPanel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沿用现有预制体，不重搭整体层级。</w:t>
            </w:r>
          </w:p>
        </w:tc>
      </w:tr>
      <w:tr>
        <w:tc>
          <w:tcPr>
            <w:tcW w:type="dxa" w:w="17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武将展示</w:t>
            </w:r>
          </w:p>
        </w:tc>
        <w:tc>
          <w:tcPr>
            <w:tcW w:type="dxa" w:w="31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HeroPerfect、HeroName、HeroType 等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绑定当前卡池对应武将 Spine；切池后清理旧实例再刷新。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大奖展示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finalbox、finalbg、finaltitle、finaltag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展示当前 newrecruit.rewardtier；点击可打开通用道具详情。</w:t>
            </w:r>
          </w:p>
        </w:tc>
      </w:tr>
      <w:tr>
        <w:tc>
          <w:tcPr>
            <w:tcW w:type="dxa" w:w="17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气泡展示</w:t>
            </w:r>
          </w:p>
        </w:tc>
        <w:tc>
          <w:tcPr>
            <w:tcW w:type="dxa" w:w="31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item1～item6 等现有道具位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 itemShow 顺序绑定；实际数量与槽位数不一致时按第 6.4 节处理。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抽奖按钮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choose_btn1、choose_btn10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分别发送 actval=1、10；请求中统一加交互锁。</w:t>
            </w:r>
          </w:p>
        </w:tc>
      </w:tr>
      <w:tr>
        <w:tc>
          <w:tcPr>
            <w:tcW w:type="dxa" w:w="17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奖池入口</w:t>
            </w:r>
          </w:p>
        </w:tc>
        <w:tc>
          <w:tcPr>
            <w:tcW w:type="dxa" w:w="31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rewardpool_btn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打开 ItemChoosePanel，选项使用 rewardtier。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辅助入口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rule_btn、rank_btn、timeLeft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沿用公共规则、排行榜与活动倒计时能力。</w:t>
            </w:r>
          </w:p>
        </w:tc>
      </w:tr>
    </w:tbl>
    <w:p>
      <w:pPr>
        <w:spacing w:after="20"/>
      </w:pPr>
    </w:p>
    <w:p>
      <w:pPr>
        <w:pStyle w:val="Heading1"/>
      </w:pPr>
      <w:r>
        <w:t>3. 配置数据设计</w:t>
      </w:r>
    </w:p>
    <w:p>
      <w:pPr>
        <w:pStyle w:val="Heading2"/>
      </w:pPr>
      <w:r>
        <w:t>3.1 activerecruitpatern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50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前端用途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活动配置 ID；通过当前活动实例查找。</w:t>
            </w:r>
          </w:p>
        </w:tc>
      </w:tr>
      <w:tr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newrecruitid</w:t>
            </w:r>
          </w:p>
        </w:tc>
        <w:tc>
          <w:tcPr>
            <w:tcW w:type="dxa" w:w="25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poolId|poolId|...</w:t>
            </w:r>
          </w:p>
        </w:tc>
        <w:tc>
          <w:tcPr>
            <w:tcW w:type="dxa" w:w="50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本活动可选卡池列表；顺序即 ItemChoosePanel 展示顺序。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itemShow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itemId;count|...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主界面气泡道具列表；从左上开始顺时针绑定。</w:t>
            </w:r>
          </w:p>
        </w:tc>
      </w:tr>
      <w:tr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score</w:t>
            </w:r>
          </w:p>
        </w:tc>
        <w:tc>
          <w:tcPr>
            <w:tcW w:type="dxa" w:w="25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50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每抽积分展示/任务刷新使用，前端不自行结算。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channel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itemId;count|...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公共播报道具范围；前端仅消费公共广播。</w:t>
            </w:r>
          </w:p>
        </w:tc>
      </w:tr>
    </w:tbl>
    <w:p>
      <w:pPr>
        <w:spacing w:after="20"/>
      </w:pPr>
    </w:p>
    <w:p>
      <w:pPr>
        <w:pStyle w:val="Heading2"/>
      </w:pPr>
      <w:r>
        <w:t>3.2 newrecruit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45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前端用途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卡池 ID；当前池、切换目标与 UI 映射主键。</w:t>
            </w:r>
          </w:p>
        </w:tc>
      </w:tr>
      <w:tr>
        <w:tc>
          <w:tcPr>
            <w:tcW w:type="dxa" w:w="23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rewardtier</w:t>
            </w:r>
          </w:p>
        </w:tc>
        <w:tc>
          <w:tcPr>
            <w:tcW w:type="dxa" w:w="25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itemId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最终大奖道具；主界面大奖和选择奖池选项均使用它。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single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drawCount;costCount;itemId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单抽消耗展示；请求数量仍以 actval=1 为准。</w:t>
            </w:r>
          </w:p>
        </w:tc>
      </w:tr>
      <w:tr>
        <w:tc>
          <w:tcPr>
            <w:tcW w:type="dxa" w:w="23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multi</w:t>
            </w:r>
          </w:p>
        </w:tc>
        <w:tc>
          <w:tcPr>
            <w:tcW w:type="dxa" w:w="25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drawCount;costCount;itemId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十抽消耗展示；请求数量仍以 actval=10 为准。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rewardGroupId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普通奖励组；用于奖池说明/预览。</w:t>
            </w:r>
          </w:p>
        </w:tc>
      </w:tr>
      <w:tr>
        <w:tc>
          <w:tcPr>
            <w:tcW w:type="dxa" w:w="23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bigreward / bigrewardCycle</w:t>
            </w:r>
          </w:p>
        </w:tc>
        <w:tc>
          <w:tcPr>
            <w:tcW w:type="dxa" w:w="25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rewardGroupId / int</w:t>
            </w:r>
          </w:p>
        </w:tc>
        <w:tc>
          <w:tcPr>
            <w:tcW w:type="dxa" w:w="4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保底奖励与次数展示。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extrareward / extrarewardtimes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rewardGroupId / int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周期额外奖励与周期次数展示。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E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B7791F"/>
                <w:sz w:val="20"/>
              </w:rPr>
              <w:t xml:space="preserve">禁止硬编码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20"/>
              </w:rPr>
              <w:t>活动 ID、卡池 ID、rewardtier、消耗道具、保底次数、周期次数和 itemShow 数量全部从配置/动态状态读取。配置示例 1600 与卡池 4/5/6 只能用于联调，不可写入通用逻辑。</w:t>
            </w:r>
          </w:p>
        </w:tc>
      </w:tr>
    </w:tbl>
    <w:p>
      <w:pPr>
        <w:spacing w:after="20"/>
      </w:pPr>
    </w:p>
    <w:p>
      <w:pPr>
        <w:pStyle w:val="Heading1"/>
      </w:pPr>
      <w:r>
        <w:t>4. 前端运行时数据模型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1F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QXFKJState = {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activityId, activityConfig, poolIds = {}, poolsById = {},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selectedPoolId, selectedPool,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bubbleItems = {}, finalRewardItem, heroShowId,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activityInfo, isRequesting = false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静态配置只负责“可展示什么、如何消耗”；当前选中卡池和抽奖后的计数必须以服务端活动状态为准。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建立 poolsById，避免每次刷新遍历 newrecruit 全表。所有字符串字段在 Manager 层一次性解析为结构化数据。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UI 层只接收已解析 ItemData/PoolData，不直接 SplitString，减少多处格式分歧。</w:t>
      </w:r>
    </w:p>
    <w:p>
      <w:pPr>
        <w:pStyle w:val="Heading1"/>
      </w:pPr>
      <w:r>
        <w:t>5. 页面初始化与刷新流程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进入 QXFKJPanel，取得当前活动 ID 与动态活动状态；未开放则关闭交互并退出。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读取 activerecruitpatern[activityId]，解析 newrecruitid 与 itemShow；配置缺失时阻止抽奖并上报。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按 newrecruitid 读取卡池配置，建立卡池映射；任一卡池缺失时只屏蔽异常选项，不允许发送该池请求。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使用服务端当前选择匹配 selectedPoolId；首次/重置状态按服务端返回值展示，不由 UI 私自改池。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刷新武将 Spine、最终大奖、气泡道具、抽奖消耗、保底/周期文案、积分、倒计时和红点。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注册活动状态、背包、红点及协议回包事件；OnExit 时完整反注册并释放 Spine/动态 Item。</w:t>
      </w:r>
    </w:p>
    <w:p>
      <w:pPr>
        <w:pStyle w:val="Heading1"/>
      </w:pPr>
      <w:r>
        <w:t>6. 主界面施工细则</w:t>
      </w:r>
    </w:p>
    <w:p>
      <w:pPr>
        <w:pStyle w:val="Heading2"/>
      </w:pPr>
      <w:r>
        <w:t>6.1 武将 Spine 展示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展示对象取当前卡池对应最终大奖的武将/道具映射；若 rewardtier 本身可解析为武将，则直接由道具配置反查英雄展示 ID。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切换卡池成功后再更新 Spine；请求失败保持原 Spine，避免 UI 与服务端状态不一致。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加载期间显示占位或隐藏节点；快速切池时用 requestToken/poolId 校验，过期异步回调不得覆盖新 Spine。</w:t>
      </w:r>
    </w:p>
    <w:p>
      <w:pPr>
        <w:pStyle w:val="Heading2"/>
      </w:pPr>
      <w:r>
        <w:t>6.2 最终大奖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主界面中心大奖 = poolsById[selectedPoolId].rewardtier。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选择奖池界面每一项也使用该池 rewardtier，因此“选大奖”实际等价于“选择卡池”。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切换只改变已选卡池和展示，不清空累计抽数、积分或保底信息；具体动态值以回包覆盖。</w:t>
      </w:r>
    </w:p>
    <w:p>
      <w:pPr>
        <w:pStyle w:val="Heading2"/>
      </w:pPr>
      <w:r>
        <w:t>6.3 ItemChoosePanel 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00"/>
        <w:gridCol w:w="3460"/>
      </w:tblGrid>
      <w:tr>
        <w:trPr>
          <w:tblHeader w:val="true"/>
        </w:trPr>
        <w:tc>
          <w:tcPr>
            <w:tcW w:type="dxa" w:w="20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9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34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 newrecruitid 顺序生成的 rewardtier 道具列表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保持配置顺序。</w:t>
            </w:r>
          </w:p>
        </w:tc>
      </w:tr>
      <w:tr>
        <w:tc>
          <w:tcPr>
            <w:tcW w:type="dxa" w:w="20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choosed_index</w:t>
            </w:r>
          </w:p>
        </w:tc>
        <w:tc>
          <w:tcPr>
            <w:tcW w:type="dxa" w:w="39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selectedPoolId 对应下标</w:t>
            </w:r>
          </w:p>
        </w:tc>
        <w:tc>
          <w:tcPr>
            <w:tcW w:type="dxa" w:w="34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下标从通用面板现有约定。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confirm callback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返回下标/ItemData 后映射回 poolId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严禁把 rewardtier 当 poolId 发送。</w:t>
            </w:r>
          </w:p>
        </w:tc>
      </w:tr>
      <w:tr>
        <w:tc>
          <w:tcPr>
            <w:tcW w:type="dxa" w:w="20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title/desc</w:t>
            </w:r>
          </w:p>
        </w:tc>
        <w:tc>
          <w:tcPr>
            <w:tcW w:type="dxa" w:w="39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本地化“选择大奖/选择奖池”</w:t>
            </w:r>
          </w:p>
        </w:tc>
        <w:tc>
          <w:tcPr>
            <w:tcW w:type="dxa" w:w="34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不改通用面板默认行为时可省略。</w:t>
            </w:r>
          </w:p>
        </w:tc>
      </w:tr>
    </w:tbl>
    <w:p>
      <w:pPr>
        <w:spacing w:after="20"/>
      </w:pPr>
    </w:p>
    <w:p>
      <w:pPr>
        <w:pStyle w:val="Heading2"/>
      </w:pPr>
      <w:r>
        <w:t>6.4 气泡道具顺序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itemShow 下标</w:t>
            </w:r>
          </w:p>
        </w:tc>
        <w:tc>
          <w:tcPr>
            <w:tcW w:type="dxa" w:w="2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界面位置</w:t>
            </w:r>
          </w:p>
        </w:tc>
        <w:tc>
          <w:tcPr>
            <w:tcW w:type="dxa" w:w="47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绑定规则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左上角气泡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顺时针起点</w:t>
            </w:r>
          </w:p>
        </w:tc>
      </w:tr>
      <w:tr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上方气泡</w:t>
            </w:r>
          </w:p>
        </w:tc>
        <w:tc>
          <w:tcPr>
            <w:tcW w:type="dxa" w:w="47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顺时针第 2 个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右上气泡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顺时针第 3 个</w:t>
            </w:r>
          </w:p>
        </w:tc>
      </w:tr>
      <w:tr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右下气泡</w:t>
            </w:r>
          </w:p>
        </w:tc>
        <w:tc>
          <w:tcPr>
            <w:tcW w:type="dxa" w:w="47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顺时针第 4 个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下方/左下气泡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顺时针第 5 个</w:t>
            </w:r>
          </w:p>
        </w:tc>
      </w:tr>
      <w:tr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6...N</w:t>
            </w:r>
          </w:p>
        </w:tc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继续顺时针</w:t>
            </w:r>
          </w:p>
        </w:tc>
        <w:tc>
          <w:tcPr>
            <w:tcW w:type="dxa" w:w="47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以预制体 slots 数组顺序为准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建议在 Lua 中显式维护 bubbleSlots = {左上, 上, 右上, 右下, 下/左下...}，不要依赖 Transform 子节点自然顺序。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itemShow 少于槽位：隐藏多余槽位；多于槽位：仅展示可容纳项并上报配置告警，禁止覆盖或重复使用槽位。</w:t>
      </w:r>
    </w:p>
    <w:p>
      <w:pPr>
        <w:pStyle w:val="Heading1"/>
      </w:pPr>
      <w:r>
        <w:t>7. 协议与交互</w:t>
      </w:r>
    </w:p>
    <w:p>
      <w:pPr>
        <w:pStyle w:val="Heading2"/>
      </w:pPr>
      <w:r>
        <w:t>7.1 请求口径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000"/>
        <w:gridCol w:w="2860"/>
      </w:tblGrid>
      <w:tr>
        <w:trPr>
          <w:tblHeader w:val="true"/>
        </w:trPr>
        <w:tc>
          <w:tcPr>
            <w:tcW w:type="dxa" w:w="17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DceActivityOpt.type</w:t>
            </w:r>
          </w:p>
        </w:tc>
        <w:tc>
          <w:tcPr>
            <w:tcW w:type="dxa" w:w="30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28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前端行为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单抽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90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activityid；actval=1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锁定抽奖按钮，等待回包。</w:t>
            </w:r>
          </w:p>
        </w:tc>
      </w:tr>
      <w:tr>
        <w:tc>
          <w:tcPr>
            <w:tcW w:type="dxa" w:w="17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十抽</w:t>
            </w:r>
          </w:p>
        </w:tc>
        <w:tc>
          <w:tcPr>
            <w:tcW w:type="dxa" w:w="1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90</w:t>
            </w:r>
          </w:p>
        </w:tc>
        <w:tc>
          <w:tcPr>
            <w:tcW w:type="dxa" w:w="30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activityid；actval=10</w:t>
            </w:r>
          </w:p>
        </w:tc>
        <w:tc>
          <w:tcPr>
            <w:tcW w:type="dxa" w:w="28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锁定抽奖按钮，等待回包。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换大奖/换池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91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activityid；目标 newrecruit.id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目标字段按已生成协议结构赋值；成功后以服务端状态刷新。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A23B3B"/>
                <w:sz w:val="20"/>
              </w:rPr>
              <w:t xml:space="preserve">协议优先级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20"/>
              </w:rPr>
              <w:t>本文按本次前端施工口径使用 actval=1/10 表达抽奖次数；参考技术文档中若仍存在 multirecruit/recruitreq 的旧写法，以本节为准。换大奖必须传卡池 ID，而不是 rewardtier 道具 ID。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1F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-- 单抽 / 十抽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ActivityAction.Send({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 xml:space="preserve">  type = 90, activityid = self.activityId, actval = drawCount -- 1 or 10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})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-- 换大奖：targetPoolId = newrecruit.id</w:t>
              <w:br/>
            </w:r>
            <w:r>
              <w:rPr>
                <w:rFonts w:ascii="Consolas" w:hAnsi="Consolas" w:eastAsia="Consolas"/>
                <w:b w:val="0"/>
                <w:color w:val="263238"/>
                <w:sz w:val="17"/>
              </w:rPr>
              <w:t>ActivityAction.Send({ type = 91, activityid = self.activityId, ...targetPoolId })</w:t>
            </w:r>
          </w:p>
        </w:tc>
      </w:tr>
    </w:tbl>
    <w:p>
      <w:pPr>
        <w:spacing w:after="20"/>
      </w:pPr>
    </w:p>
    <w:p>
      <w:pPr>
        <w:pStyle w:val="Heading2"/>
      </w:pPr>
      <w:r>
        <w:t>7.2 回包处理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ret=0：播放/展示服务端奖励结果，随后使用回包中的最新活动状态覆盖 selectedPoolId、计数、积分与红点。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ret≠0：不播放奖励、不本地扣道具、不改变大奖；解除交互锁并走公共错误提示。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超时/断线：不得自动重发抽奖；重连后先查询活动状态和背包，避免重复扣费。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奖励明细与汇总若同时存在，逐抽动画只消费明细，最终奖励弹窗只消费汇总，不能当作两批奖励。</w:t>
      </w:r>
    </w:p>
    <w:p>
      <w:pPr>
        <w:pStyle w:val="Heading2"/>
      </w:pPr>
      <w:r>
        <w:t>7.3 防连点与状态一致性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抽奖、换池共用互斥请求锁；抽奖动画期间是否允许提前退出按项目公共规范处理，但不能再次发送抽奖。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按钮消耗展示可根据背包即时刷新，但是否成功始终以服务端回包为准。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换池使用确认回调；成功前不先切换 Spine/大奖，或使用可回滚临时态并在失败时恢复。</w:t>
      </w:r>
    </w:p>
    <w:p>
      <w:pPr>
        <w:pStyle w:val="Heading1"/>
      </w:pPr>
      <w:r>
        <w:t>8. 推荐代码拆分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5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QXFKJMgr（新增/扩展）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配置解析、卡池映射、活动动态状态、协议发送、回包分发、红点。</w:t>
            </w:r>
          </w:p>
        </w:tc>
      </w:tr>
      <w:tr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QXFKJPanel.lua</w:t>
            </w:r>
          </w:p>
        </w:tc>
        <w:tc>
          <w:tcPr>
            <w:tcW w:type="dxa" w:w="6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生命周期、页签/入口、主页面组合与统一刷新。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QXFKJRecruitSubPanel.lua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Spine、大奖、气泡、抽奖按钮、选择奖池。若现有 QXFKJSubPanel 已承担该职责则直接扩展。</w:t>
            </w:r>
          </w:p>
        </w:tc>
      </w:tr>
      <w:tr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ItemChoosePanel.lua</w:t>
            </w:r>
          </w:p>
        </w:tc>
        <w:tc>
          <w:tcPr>
            <w:tcW w:type="dxa" w:w="6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仅复用；如现有参数不足，做可选参数兼容扩展，不写活动专用分支。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PageGlobal.lua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确认 QXFKJPanel 页面注册；新增 Lua 文件时同步注册路径。</w:t>
            </w:r>
          </w:p>
        </w:tc>
      </w:tr>
    </w:tbl>
    <w:p>
      <w:pPr>
        <w:spacing w:after="20"/>
      </w:pPr>
    </w:p>
    <w:p>
      <w:pPr>
        <w:pStyle w:val="Heading1"/>
      </w:pPr>
      <w:r>
        <w:t>9. 异常与降级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6560"/>
            <w:shd w:fill="1532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activerecruitpatern 缺失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隐藏/禁用抽奖区，提示配置异常并上报活动 ID。</w:t>
            </w:r>
          </w:p>
        </w:tc>
      </w:tr>
      <w:tr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newrecruitid 为空</w:t>
            </w:r>
          </w:p>
        </w:tc>
        <w:tc>
          <w:tcPr>
            <w:tcW w:type="dxa" w:w="6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不打开选择面板，不发送 type 90/91。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当前池不在配置列表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刷新活动信息；仍异常则禁用抽奖，禁止前端擅自切第一池。</w:t>
            </w:r>
          </w:p>
        </w:tc>
      </w:tr>
      <w:tr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rewardtier 无效</w:t>
            </w:r>
          </w:p>
        </w:tc>
        <w:tc>
          <w:tcPr>
            <w:tcW w:type="dxa" w:w="6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对应卡池标记不可选；主界面使用空态并上报 poolId。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Spine 加载失败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保留大奖道具展示，隐藏 Spine 并上报资源 ID；不影响协议操作。</w:t>
            </w:r>
          </w:p>
        </w:tc>
      </w:tr>
      <w:tr>
        <w:tc>
          <w:tcPr>
            <w:tcW w:type="dxa" w:w="280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itemShow 格式错误</w:t>
            </w:r>
          </w:p>
        </w:tc>
        <w:tc>
          <w:tcPr>
            <w:tcW w:type="dxa" w:w="656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跳过错误项，其他项继续按原下标绑定，避免顺序整体前移造成误解。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活动结束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停止倒计时，禁用抽奖和换池，关闭选择面板并刷新活动入口。</w:t>
            </w:r>
          </w:p>
        </w:tc>
      </w:tr>
    </w:tbl>
    <w:p>
      <w:pPr>
        <w:spacing w:after="20"/>
      </w:pPr>
    </w:p>
    <w:p>
      <w:pPr>
        <w:pStyle w:val="Heading1"/>
      </w:pPr>
      <w:r>
        <w:t>10. 联调与验收清单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首次进入能按服务端当前池展示正确 Spine 与 rewardtier。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ItemChoosePanel 选项数量、顺序与 activerecruitpatern.newrecruitid 一致，图标来自各池 rewardtier。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换大奖发送 type=91，传的是 newrecruit.id；成功后主界面 Spine、大奖和选中态一致。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单抽发送 type=90、actval=1；十抽发送 type=90、actval=10。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请求进行中无法重复点击；失败不扣本地资源、不切大奖、不播放奖励。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气泡从左上开始顺时针，逐项对应 itemShow；少项隐藏，多项告警。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切换大奖不清空累计次数、保底、积分；所有动态值由回包覆盖。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道具不足、配置缺失、活动关闭、超时重连均符合第 9 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退出页面后事件监听和 Spine 实例释放完整，再进入不会重复回调。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□ 不同分辨率与安全区下，标题、倒计时、右侧入口、抽奖按钮及底部进度条无裁切。</w:t>
      </w:r>
    </w:p>
    <w:p>
      <w:pPr>
        <w:pStyle w:val="Heading1"/>
      </w:pPr>
      <w:r>
        <w:t>11. 待联调确认项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type=91 的目标卡池 ID 在当前客户端生成协议中的具体字段名：沿用 selectrecruitreq.id，还是已调整为公共字段。本文只锁定语义为 newrecruit.id。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rewardtier 到武将 Spine 展示 ID 的最终映射来源：道具配置反查、英雄配置，或服务端另有展示字段。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QXFKJPanel 现有气泡槽位的最终数量与显隐动画；配置 itemShow 当前可能多于效果图可见数量，应由产品/美术确认容纳策略。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1"/>
        </w:rPr>
        <w:t>抽奖回包中逐抽明细字段与通用奖励弹窗接入点，以当前协议生成代码为准。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E7490"/>
                <w:sz w:val="20"/>
              </w:rPr>
              <w:t xml:space="preserve">完成定义  </w:t>
            </w:r>
            <w:r>
              <w:rPr>
                <w:rFonts w:ascii="Microsoft YaHei" w:hAnsi="Microsoft YaHei" w:eastAsia="Microsoft YaHei"/>
                <w:b w:val="0"/>
                <w:color w:val="263238"/>
                <w:sz w:val="20"/>
              </w:rPr>
              <w:t>上述待确认项不影响页面骨架、配置解析、气泡顺序、ItemChoosePanel 复用和 type=90 的 actval=1/10 接入；协议字段名确认后即可完成 type=91 的最终联调。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6B76"/>
        <w:sz w:val="16"/>
      </w:rPr>
      <w:t>客户端前端 / Lua UI / 联调验收 · 2026-08-26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F6B76"/>
        <w:sz w:val="17"/>
      </w:rPr>
      <w:t>群雄复刻祭 · 前端施工文档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779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5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群雄复刻祭活动界面前端施工文档</dc:title>
  <dc:subject>QXFKJPanel 前端实现、配置、协议与联调验收</dc:subject>
  <dc:creator>客户端前端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