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b/>
          <w:bCs/>
          <w:color w:val="1E3A5F"/>
          <w:sz w:val="52"/>
          <w:szCs w:val="52"/>
        </w:rPr>
        <w:t xml:space="preserve">FitGO</w:t>
      </w:r>
    </w:p>
    <w:p>
      <w:pPr>
        <w:spacing w:after="80" w:before="0"/>
        <w:jc w:val="center"/>
      </w:pPr>
      <w:r>
        <w:rPr>
          <w:color w:val="555555"/>
          <w:sz w:val="24"/>
          <w:szCs w:val="24"/>
        </w:rPr>
        <w:t xml:space="preserve">Términos y Condiciones de Uso</w:t>
      </w:r>
    </w:p>
    <w:p>
      <w:pPr>
        <w:spacing w:after="80" w:before="0"/>
        <w:jc w:val="center"/>
      </w:pPr>
      <w:r>
        <w:rPr>
          <w:color w:val="555555"/>
          <w:sz w:val="24"/>
          <w:szCs w:val="24"/>
        </w:rPr>
        <w:t xml:space="preserve">Versión 1.0</w:t>
      </w:r>
    </w:p>
    <w:p>
      <w:pPr>
        <w:spacing w:after="0" w:before="600"/>
      </w:pPr>
    </w:p>
    <w:p>
      <w:pPr>
        <w:spacing w:after="0" w:before="80"/>
        <w:jc w:val="center"/>
      </w:pPr>
      <w:r>
        <w:rPr>
          <w:i/>
          <w:iCs/>
          <w:color w:val="888888"/>
          <w:sz w:val="20"/>
          <w:szCs w:val="20"/>
        </w:rPr>
        <w:t xml:space="preserve">Fecha de entrada en vigor: 1 de junio de 2025</w:t>
      </w:r>
    </w:p>
    <w:p>
      <w:pPr>
        <w:spacing w:after="0" w:before="80"/>
        <w:jc w:val="center"/>
      </w:pPr>
      <w:r>
        <w:rPr>
          <w:i/>
          <w:iCs/>
          <w:color w:val="888888"/>
          <w:sz w:val="20"/>
          <w:szCs w:val="20"/>
        </w:rPr>
        <w:t xml:space="preserve">Última actualización: 28 de mayo de 2025</w:t>
      </w:r>
    </w:p>
    <w:p>
      <w:pPr>
        <w:spacing w:after="0" w:before="800"/>
      </w:pPr>
    </w:p>
    <w:p>
      <w:pPr>
        <w:jc w:val="center"/>
      </w:pPr>
      <w:r>
        <w:rPr>
          <w:color w:val="555555"/>
          <w:sz w:val="20"/>
          <w:szCs w:val="20"/>
        </w:rPr>
        <w:t xml:space="preserve">FitGO Technologies S.A.S.</w:t>
      </w:r>
    </w:p>
    <w:p>
      <w:pPr>
        <w:jc w:val="center"/>
      </w:pPr>
      <w:r>
        <w:rPr>
          <w:color w:val="2E5F8A"/>
          <w:sz w:val="20"/>
          <w:szCs w:val="20"/>
        </w:rPr>
        <w:t xml:space="preserve">legal@fitgo.app</w:t>
      </w:r>
    </w:p>
    <w:p>
      <w:r>
        <w:br w:type="page"/>
      </w:r>
    </w:p>
    <w:p>
      <w:pPr>
        <w:pStyle w:val="Heading1"/>
        <w:spacing w:after="120" w:before="360"/>
      </w:pPr>
      <w:r>
        <w:rPr>
          <w:b/>
          <w:bCs/>
          <w:sz w:val="28"/>
          <w:szCs w:val="28"/>
        </w:rPr>
        <w:t xml:space="preserve">CLÁUSULA 1. ACEPTACIÓN Y ÁMBITO DE APLICACIÓN</w:t>
      </w:r>
    </w:p>
    <w:p>
      <w:pPr>
        <w:spacing w:after="80" w:before="80"/>
        <w:jc w:val="both"/>
      </w:pPr>
      <w:r>
        <w:rPr>
          <w:sz w:val="20"/>
          <w:szCs w:val="20"/>
        </w:rPr>
        <w:t xml:space="preserve">Los presentes Términos y Condiciones de Uso ("T&amp;C", "Términos" o "Acuerdo") regulan el acceso y uso de la aplicación móvil FitGO y de todos sus servicios asociados (conjuntamente, los "Servicios"), desarrollados y operados por FitGO Technologies S.A.S. (en adelante, "FitGO", "nosotros" o "la Empresa").</w:t>
      </w:r>
    </w:p>
    <w:p>
      <w:pPr>
        <w:spacing w:after="80" w:before="80"/>
        <w:jc w:val="both"/>
      </w:pPr>
      <w:r>
        <w:rPr>
          <w:sz w:val="20"/>
          <w:szCs w:val="20"/>
        </w:rPr>
        <w:t xml:space="preserve">AL INSTALAR, ACCEDER O UTILIZAR LA APLICACIÓN, USTED DECLARA TENER AL MENOS 16 AÑOS DE EDAD, CAPACIDAD LEGAL PARA SUSCRIBIR ESTE ACUERDO, HABER LEÍDO ÍNTEGRAMENTE LOS PRESENTES TÉRMINOS Y ACEPTARLOS EN SU TOTALIDAD. SI NO ESTÁ DE ACUERDO CON ALGUNO DE SUS TÉRMINOS, DEBE ABSTENERSE DE USAR LA APLICACIÓN.</w:t>
      </w:r>
    </w:p>
    <w:p>
      <w:pPr>
        <w:spacing w:after="80" w:before="80"/>
        <w:jc w:val="both"/>
      </w:pPr>
      <w:r>
        <w:rPr>
          <w:sz w:val="20"/>
          <w:szCs w:val="20"/>
        </w:rPr>
        <w:t xml:space="preserve">Estos Términos deben leerse conjuntamente con la Política de Privacidad de FitGO, que se incorpora a este Acuerdo por referencia.</w:t>
      </w:r>
    </w:p>
    <w:p>
      <w:pPr>
        <w:pBdr>
          <w:bottom w:val="single" w:color="CCCCCC" w:sz="4" w:space="1"/>
        </w:pBdr>
        <w:spacing w:after="120" w:before="120"/>
      </w:pPr>
    </w:p>
    <w:p>
      <w:pPr>
        <w:pStyle w:val="Heading1"/>
        <w:spacing w:after="120" w:before="360"/>
      </w:pPr>
      <w:r>
        <w:rPr>
          <w:b/>
          <w:bCs/>
          <w:sz w:val="28"/>
          <w:szCs w:val="28"/>
        </w:rPr>
        <w:t xml:space="preserve">CLÁUSULA 2. DESCRIPCIÓN DEL SERVICIO</w:t>
      </w:r>
    </w:p>
    <w:p>
      <w:pPr>
        <w:spacing w:after="80" w:before="80"/>
        <w:jc w:val="both"/>
      </w:pPr>
      <w:r>
        <w:rPr>
          <w:sz w:val="20"/>
          <w:szCs w:val="20"/>
        </w:rPr>
        <w:t xml:space="preserve">FitGO es una aplicación móvil de salud, nutrición y fitness que ofrece las siguientes funcionalidades principales:</w:t>
      </w:r>
    </w:p>
    <w:p>
      <w:pPr>
        <w:pStyle w:val="ListParagraph"/>
        <w:numPr>
          <w:ilvl w:val="0"/>
          <w:numId w:val="2"/>
        </w:numPr>
        <w:spacing w:after="60" w:before="60"/>
        <w:jc w:val="both"/>
      </w:pPr>
      <w:r>
        <w:rPr>
          <w:sz w:val="20"/>
          <w:szCs w:val="20"/>
        </w:rPr>
        <w:t xml:space="preserve">Registro y seguimiento de ingesta nutricional diaria (calorías y macronutrientes).</w:t>
      </w:r>
    </w:p>
    <w:p>
      <w:pPr>
        <w:pStyle w:val="ListParagraph"/>
        <w:numPr>
          <w:ilvl w:val="0"/>
          <w:numId w:val="2"/>
        </w:numPr>
        <w:spacing w:after="60" w:before="60"/>
        <w:jc w:val="both"/>
      </w:pPr>
      <w:r>
        <w:rPr>
          <w:sz w:val="20"/>
          <w:szCs w:val="20"/>
        </w:rPr>
        <w:t xml:space="preserve">Seguimiento de hidratación, sueño y métricas corporales.</w:t>
      </w:r>
    </w:p>
    <w:p>
      <w:pPr>
        <w:pStyle w:val="ListParagraph"/>
        <w:numPr>
          <w:ilvl w:val="0"/>
          <w:numId w:val="2"/>
        </w:numPr>
        <w:spacing w:after="60" w:before="60"/>
        <w:jc w:val="both"/>
      </w:pPr>
      <w:r>
        <w:rPr>
          <w:sz w:val="20"/>
          <w:szCs w:val="20"/>
        </w:rPr>
        <w:t xml:space="preserve">Generación automatizada de planes de comida y rutinas de ejercicio mediante algoritmos.</w:t>
      </w:r>
    </w:p>
    <w:p>
      <w:pPr>
        <w:pStyle w:val="ListParagraph"/>
        <w:numPr>
          <w:ilvl w:val="0"/>
          <w:numId w:val="2"/>
        </w:numPr>
        <w:spacing w:after="60" w:before="60"/>
        <w:jc w:val="both"/>
      </w:pPr>
      <w:r>
        <w:rPr>
          <w:sz w:val="20"/>
          <w:szCs w:val="20"/>
        </w:rPr>
        <w:t xml:space="preserve">Coach de Inteligencia Artificial: asistente virtual de nutrición, entrenamiento y bienestar deportivo.</w:t>
      </w:r>
    </w:p>
    <w:p>
      <w:pPr>
        <w:pStyle w:val="ListParagraph"/>
        <w:numPr>
          <w:ilvl w:val="0"/>
          <w:numId w:val="2"/>
        </w:numPr>
        <w:spacing w:after="60" w:before="60"/>
        <w:jc w:val="both"/>
      </w:pPr>
      <w:r>
        <w:rPr>
          <w:sz w:val="20"/>
          <w:szCs w:val="20"/>
        </w:rPr>
        <w:t xml:space="preserve">Sistema de gamificación social: Squads, Ligas FitGO y tablas de clasificación.</w:t>
      </w:r>
    </w:p>
    <w:p>
      <w:pPr>
        <w:pStyle w:val="ListParagraph"/>
        <w:numPr>
          <w:ilvl w:val="0"/>
          <w:numId w:val="2"/>
        </w:numPr>
        <w:spacing w:after="60" w:before="60"/>
        <w:jc w:val="both"/>
      </w:pPr>
      <w:r>
        <w:rPr>
          <w:sz w:val="20"/>
          <w:szCs w:val="20"/>
        </w:rPr>
        <w:t xml:space="preserve">Funcionalidades premium adicionales disponibles mediante suscripción de pago (Plan Pro).</w:t>
      </w:r>
    </w:p>
    <w:p>
      <w:pPr>
        <w:spacing w:after="80" w:before="80"/>
        <w:jc w:val="both"/>
      </w:pPr>
      <w:r>
        <w:rPr>
          <w:sz w:val="20"/>
          <w:szCs w:val="20"/>
        </w:rPr>
        <w:t xml:space="preserve">FitGO se reserva el derecho de modificar, suspender o discontinuar cualquier funcionalidad de los Servicios, con o sin previo aviso, sin que ello genere responsabilidad alguna hacia el usuario, siempre que se respeten los derechos adquiridos en el marco de suscripciones de pago activas.</w:t>
      </w:r>
    </w:p>
    <w:p>
      <w:pPr>
        <w:pBdr>
          <w:bottom w:val="single" w:color="CCCCCC" w:sz="4" w:space="1"/>
        </w:pBdr>
        <w:spacing w:after="120" w:before="120"/>
      </w:pPr>
    </w:p>
    <w:p>
      <w:pPr>
        <w:pStyle w:val="Heading1"/>
        <w:spacing w:after="120" w:before="360"/>
      </w:pPr>
      <w:r>
        <w:rPr>
          <w:b/>
          <w:bCs/>
          <w:sz w:val="28"/>
          <w:szCs w:val="28"/>
        </w:rPr>
        <w:t xml:space="preserve">CLÁUSULA 3. DESCARGO DE RESPONSABILIDAD MÉDICA Y DE SALUD (MEDICAL DISCLAIMER)</w:t>
      </w:r>
    </w:p>
    <w:p>
      <w:pPr>
        <w:pBdr>
          <w:top w:val="single" w:color="C0392B" w:sz="6" w:space="1"/>
          <w:bottom w:val="single" w:color="C0392B" w:sz="6" w:space="1"/>
        </w:pBdr>
        <w:spacing w:after="120" w:before="120"/>
        <w:jc w:val="center"/>
      </w:pPr>
      <w:r>
        <w:rPr>
          <w:b/>
          <w:bCs/>
          <w:color w:val="C0392B"/>
          <w:sz w:val="22"/>
          <w:szCs w:val="22"/>
        </w:rPr>
        <w:t xml:space="preserve">AVISO LEGAL IMPORTANTE — LEA CON ATENCIÓN</w:t>
      </w:r>
    </w:p>
    <w:p>
      <w:pPr>
        <w:pStyle w:val="Heading2"/>
        <w:spacing w:after="100" w:before="280"/>
      </w:pPr>
      <w:r>
        <w:rPr>
          <w:b/>
          <w:bCs/>
          <w:sz w:val="24"/>
          <w:szCs w:val="24"/>
        </w:rPr>
        <w:t xml:space="preserve">3.1 Naturaleza Informativa, No Médica</w:t>
      </w:r>
    </w:p>
    <w:p>
      <w:pPr>
        <w:spacing w:after="80" w:before="80"/>
        <w:jc w:val="both"/>
      </w:pPr>
      <w:r>
        <w:rPr>
          <w:sz w:val="20"/>
          <w:szCs w:val="20"/>
        </w:rPr>
        <w:t xml:space="preserve">FitGO es una aplicación de bienestar y fitness de carácter estrictamente informativo y educativo. FITGO NO ES UN DISPOSITIVO MÉDICO, NO PRESTA SERVICIOS MÉDICOS NI SANITARIOS Y NO DEBE SER UTILIZADA COMO SUSTITUTO DE ATENCIÓN MÉDICA PROFESIONAL.</w:t>
      </w:r>
    </w:p>
    <w:p>
      <w:pPr>
        <w:spacing w:after="80" w:before="80"/>
        <w:jc w:val="both"/>
      </w:pPr>
      <w:r>
        <w:rPr>
          <w:sz w:val="20"/>
          <w:szCs w:val="20"/>
        </w:rPr>
        <w:t xml:space="preserve">El contenido, las recomendaciones nutricionales, los planes de entrenamiento, los cálculos de TDEE, los objetivos de macronutrientes y cualquier otra información generada por la Aplicación —incluyendo las respuestas proporcionadas por el módulo Coach de Inteligencia Artificial— tienen exclusivamente un propósito informativo y de referencia general. Dicha información:</w:t>
      </w:r>
    </w:p>
    <w:p>
      <w:pPr>
        <w:pStyle w:val="ListParagraph"/>
        <w:numPr>
          <w:ilvl w:val="0"/>
          <w:numId w:val="2"/>
        </w:numPr>
        <w:spacing w:after="60" w:before="60"/>
        <w:jc w:val="both"/>
      </w:pPr>
      <w:r>
        <w:rPr>
          <w:sz w:val="20"/>
          <w:szCs w:val="20"/>
        </w:rPr>
        <w:t xml:space="preserve">NO constituye consejo, diagnóstico, prescripción ni tratamiento médico de ningún tipo.</w:t>
      </w:r>
    </w:p>
    <w:p>
      <w:pPr>
        <w:pStyle w:val="ListParagraph"/>
        <w:numPr>
          <w:ilvl w:val="0"/>
          <w:numId w:val="2"/>
        </w:numPr>
        <w:spacing w:after="60" w:before="60"/>
        <w:jc w:val="both"/>
      </w:pPr>
      <w:r>
        <w:rPr>
          <w:sz w:val="20"/>
          <w:szCs w:val="20"/>
        </w:rPr>
        <w:t xml:space="preserve">NO ha sido validada ni certificada por ninguna autoridad sanitaria regulatoria (FDA, EMA, INVIMA, EFSA o equivalente).</w:t>
      </w:r>
    </w:p>
    <w:p>
      <w:pPr>
        <w:pStyle w:val="ListParagraph"/>
        <w:numPr>
          <w:ilvl w:val="0"/>
          <w:numId w:val="2"/>
        </w:numPr>
        <w:spacing w:after="60" w:before="60"/>
        <w:jc w:val="both"/>
      </w:pPr>
      <w:r>
        <w:rPr>
          <w:sz w:val="20"/>
          <w:szCs w:val="20"/>
        </w:rPr>
        <w:t xml:space="preserve">NO ha sido elaborada por profesionales de la medicina, la nutrición clínica ni ninguna otra ciencia de la salud regulada.</w:t>
      </w:r>
    </w:p>
    <w:p>
      <w:pPr>
        <w:pStyle w:val="ListParagraph"/>
        <w:numPr>
          <w:ilvl w:val="0"/>
          <w:numId w:val="2"/>
        </w:numPr>
        <w:spacing w:after="60" w:before="60"/>
        <w:jc w:val="both"/>
      </w:pPr>
      <w:r>
        <w:rPr>
          <w:sz w:val="20"/>
          <w:szCs w:val="20"/>
        </w:rPr>
        <w:t xml:space="preserve">PUEDE NO SER APROPIADA para su situación de salud particular, condición médica preexistente, alergias, intolerancias alimentarias o medicación actual.</w:t>
      </w:r>
    </w:p>
    <w:p>
      <w:pPr>
        <w:pStyle w:val="Heading2"/>
        <w:spacing w:after="100" w:before="280"/>
      </w:pPr>
      <w:r>
        <w:rPr>
          <w:b/>
          <w:bCs/>
          <w:sz w:val="24"/>
          <w:szCs w:val="24"/>
        </w:rPr>
        <w:t xml:space="preserve">3.2 Consulta con Profesionales de la Salud</w:t>
      </w:r>
    </w:p>
    <w:p>
      <w:pPr>
        <w:spacing w:after="80" w:before="80"/>
        <w:jc w:val="both"/>
      </w:pPr>
      <w:r>
        <w:rPr>
          <w:sz w:val="20"/>
          <w:szCs w:val="20"/>
        </w:rPr>
        <w:t xml:space="preserve">ANTES DE INICIAR CUALQUIER PROGRAMA DE DIETA, PÉRDIDA O GANANCIA DE PESO, SUPLEMENTACIÓN O RUTINA DE EJERCICIO FÍSICO BASADO EN LA INFORMACIÓN PROPORCIONADA POR FITGO, USTED DEBE:</w:t>
      </w:r>
    </w:p>
    <w:p>
      <w:pPr>
        <w:pStyle w:val="ListParagraph"/>
        <w:numPr>
          <w:ilvl w:val="0"/>
          <w:numId w:val="2"/>
        </w:numPr>
        <w:spacing w:after="60" w:before="60"/>
        <w:jc w:val="both"/>
      </w:pPr>
      <w:r>
        <w:rPr>
          <w:sz w:val="20"/>
          <w:szCs w:val="20"/>
        </w:rPr>
        <w:t xml:space="preserve">Consultar con un médico titulado u otro profesional de la salud cualificado, especialmente si padece o sospecha padecer alguna condición médica.</w:t>
      </w:r>
    </w:p>
    <w:p>
      <w:pPr>
        <w:pStyle w:val="ListParagraph"/>
        <w:numPr>
          <w:ilvl w:val="0"/>
          <w:numId w:val="2"/>
        </w:numPr>
        <w:spacing w:after="60" w:before="60"/>
        <w:jc w:val="both"/>
      </w:pPr>
      <w:r>
        <w:rPr>
          <w:sz w:val="20"/>
          <w:szCs w:val="20"/>
        </w:rPr>
        <w:t xml:space="preserve">Consultar con un dietista-nutricionista colegiado para la elaboración de un plan nutricional individualizado.</w:t>
      </w:r>
    </w:p>
    <w:p>
      <w:pPr>
        <w:pStyle w:val="ListParagraph"/>
        <w:numPr>
          <w:ilvl w:val="0"/>
          <w:numId w:val="2"/>
        </w:numPr>
        <w:spacing w:after="60" w:before="60"/>
        <w:jc w:val="both"/>
      </w:pPr>
      <w:r>
        <w:rPr>
          <w:sz w:val="20"/>
          <w:szCs w:val="20"/>
        </w:rPr>
        <w:t xml:space="preserve">Consultar con un profesional del ejercicio físico certificado antes de comenzar un programa de entrenamiento de intensidad moderada o alta.</w:t>
      </w:r>
    </w:p>
    <w:p>
      <w:pPr>
        <w:pStyle w:val="Heading2"/>
        <w:spacing w:after="100" w:before="280"/>
      </w:pPr>
      <w:r>
        <w:rPr>
          <w:b/>
          <w:bCs/>
          <w:sz w:val="24"/>
          <w:szCs w:val="24"/>
        </w:rPr>
        <w:t xml:space="preserve">3.3 Exclusión Especial de Responsabilidad por el Coach de IA</w:t>
      </w:r>
    </w:p>
    <w:p>
      <w:pPr>
        <w:spacing w:after="80" w:before="80"/>
        <w:jc w:val="both"/>
      </w:pPr>
      <w:r>
        <w:rPr>
          <w:sz w:val="20"/>
          <w:szCs w:val="20"/>
        </w:rPr>
        <w:t xml:space="preserve">El módulo 'Coach de IA' de FitGO utiliza modelos de lenguaje de gran escala (LLM) proporcionados por GROQ (Llama 3, Mixtral). USTED RECONOCE Y ACEPTA QUE:</w:t>
      </w:r>
    </w:p>
    <w:p>
      <w:pPr>
        <w:pStyle w:val="ListParagraph"/>
        <w:numPr>
          <w:ilvl w:val="0"/>
          <w:numId w:val="2"/>
        </w:numPr>
        <w:spacing w:after="60" w:before="60"/>
        <w:jc w:val="both"/>
      </w:pPr>
      <w:r>
        <w:rPr>
          <w:sz w:val="20"/>
          <w:szCs w:val="20"/>
        </w:rPr>
        <w:t xml:space="preserve">Los modelos de IA pueden generar información imprecisa, desactualizada o inapropiada para su contexto específico (conocido como 'alucinación').</w:t>
      </w:r>
    </w:p>
    <w:p>
      <w:pPr>
        <w:pStyle w:val="ListParagraph"/>
        <w:numPr>
          <w:ilvl w:val="0"/>
          <w:numId w:val="2"/>
        </w:numPr>
        <w:spacing w:after="60" w:before="60"/>
        <w:jc w:val="both"/>
      </w:pPr>
      <w:r>
        <w:rPr>
          <w:sz w:val="20"/>
          <w:szCs w:val="20"/>
        </w:rPr>
        <w:t xml:space="preserve">Las respuestas del Coach de IA NO son revisadas en tiempo real por ningún profesional de la salud.</w:t>
      </w:r>
    </w:p>
    <w:p>
      <w:pPr>
        <w:pStyle w:val="ListParagraph"/>
        <w:numPr>
          <w:ilvl w:val="0"/>
          <w:numId w:val="2"/>
        </w:numPr>
        <w:spacing w:after="60" w:before="60"/>
        <w:jc w:val="both"/>
      </w:pPr>
      <w:r>
        <w:rPr>
          <w:sz w:val="20"/>
          <w:szCs w:val="20"/>
        </w:rPr>
        <w:t xml:space="preserve">La IA no tiene acceso a su historial clínico completo, medicación, alergias ni condiciones médicas no declaradas en la Aplicación.</w:t>
      </w:r>
    </w:p>
    <w:p>
      <w:pPr>
        <w:pStyle w:val="ListParagraph"/>
        <w:numPr>
          <w:ilvl w:val="0"/>
          <w:numId w:val="2"/>
        </w:numPr>
        <w:spacing w:after="60" w:before="60"/>
        <w:jc w:val="both"/>
      </w:pPr>
      <w:r>
        <w:rPr>
          <w:sz w:val="20"/>
          <w:szCs w:val="20"/>
        </w:rPr>
        <w:t xml:space="preserve">FitGO no garantiza la exactitud, completitud ni idoneidad de las respuestas generadas por IA.</w:t>
      </w:r>
    </w:p>
    <w:p>
      <w:pPr>
        <w:pStyle w:val="Heading2"/>
        <w:spacing w:after="100" w:before="280"/>
      </w:pPr>
      <w:r>
        <w:rPr>
          <w:b/>
          <w:bCs/>
          <w:sz w:val="24"/>
          <w:szCs w:val="24"/>
        </w:rPr>
        <w:t xml:space="preserve">3.4 Asunción de Riesgos</w:t>
      </w:r>
    </w:p>
    <w:p>
      <w:pPr>
        <w:spacing w:after="80" w:before="80"/>
        <w:jc w:val="both"/>
      </w:pPr>
      <w:r>
        <w:rPr>
          <w:sz w:val="20"/>
          <w:szCs w:val="20"/>
        </w:rPr>
        <w:t xml:space="preserve">EL USO DE LA INFORMACIÓN, PLANES Y RECOMENDACIONES PROPORCIONADAS POR FITGO SE REALIZA BAJO SU EXCLUSIVO RIESGO Y RESPONSABILIDAD. FITGO, SUS DIRECTIVOS, EMPLEADOS, SOCIOS, AFILIADOS Y PROVEEDORES DE SERVICIOS NO SERÁN RESPONSABLES DE NINGÚN DAÑO DIRECTO, INDIRECTO, INCIDENTAL, ESPECIAL, CONSECUENTE O PUNITIVO QUE PUEDA DERIVARSE DEL USO O IMPOSIBILIDAD DE USO DE LOS SERVICIOS, INCLUYENDO, SIN LIMITACIÓN, LESIONES FÍSICAS, DETERIORO DE LA SALUD, PÉRDIDA DE DATOS O PÉRDIDAS ECONÓMICAS.</w:t>
      </w:r>
    </w:p>
    <w:p>
      <w:pPr>
        <w:pBdr>
          <w:bottom w:val="single" w:color="CCCCCC" w:sz="4" w:space="1"/>
        </w:pBdr>
        <w:spacing w:after="120" w:before="120"/>
      </w:pPr>
    </w:p>
    <w:p>
      <w:pPr>
        <w:pStyle w:val="Heading1"/>
        <w:spacing w:after="120" w:before="360"/>
      </w:pPr>
      <w:r>
        <w:rPr>
          <w:b/>
          <w:bCs/>
          <w:sz w:val="28"/>
          <w:szCs w:val="28"/>
        </w:rPr>
        <w:t xml:space="preserve">CLÁUSULA 4. SUSCRIPCIONES DE PAGO Y POLÍTICA DE FACTURACIÓN</w:t>
      </w:r>
    </w:p>
    <w:p>
      <w:pPr>
        <w:pStyle w:val="Heading2"/>
        <w:spacing w:after="100" w:before="280"/>
      </w:pPr>
      <w:r>
        <w:rPr>
          <w:b/>
          <w:bCs/>
          <w:sz w:val="24"/>
          <w:szCs w:val="24"/>
        </w:rPr>
        <w:t xml:space="preserve">4.1 Plan Gratuito y Plan Pro</w:t>
      </w:r>
    </w:p>
    <w:p>
      <w:pPr>
        <w:spacing w:after="80" w:before="80"/>
        <w:jc w:val="both"/>
      </w:pPr>
      <w:r>
        <w:rPr>
          <w:sz w:val="20"/>
          <w:szCs w:val="20"/>
        </w:rPr>
        <w:t xml:space="preserve">FitGO ofrece dos modalidades de acceso: (i) un plan gratuito con acceso a funcionalidades básicas y (ii) un plan de suscripción premium ('Plan Pro') con acceso a funcionalidades avanzadas. Las funcionalidades específicas de cada plan están descritas en la Aplicación y pueden ser modificadas por FitGO con previo aviso razonable.</w:t>
      </w:r>
    </w:p>
    <w:p>
      <w:pPr>
        <w:pStyle w:val="Heading2"/>
        <w:spacing w:after="100" w:before="280"/>
      </w:pPr>
      <w:r>
        <w:rPr>
          <w:b/>
          <w:bCs/>
          <w:sz w:val="24"/>
          <w:szCs w:val="24"/>
        </w:rPr>
        <w:t xml:space="preserve">4.2 Precios y Modalidades de Suscripción</w:t>
      </w:r>
    </w:p>
    <w:p>
      <w:pPr>
        <w:spacing w:after="80" w:before="80"/>
        <w:jc w:val="both"/>
      </w:pPr>
      <w:r>
        <w:rPr>
          <w:sz w:val="20"/>
          <w:szCs w:val="20"/>
        </w:rPr>
        <w:t xml:space="preserve">El Plan Pro está disponible en las siguientes modalidades de facturación, cuyos precios vigentes se muestran en la tienda de aplicaciones correspondiente (Apple App Store o Google Play Store) en el momento de la compra:</w:t>
      </w:r>
    </w:p>
    <w:p>
      <w:pPr>
        <w:pStyle w:val="ListParagraph"/>
        <w:numPr>
          <w:ilvl w:val="0"/>
          <w:numId w:val="2"/>
        </w:numPr>
        <w:spacing w:after="60" w:before="60"/>
        <w:jc w:val="both"/>
      </w:pPr>
      <w:r>
        <w:rPr>
          <w:sz w:val="20"/>
          <w:szCs w:val="20"/>
        </w:rPr>
        <w:t xml:space="preserve">Suscripción mensual: renovación automática cada 30 días.</w:t>
      </w:r>
    </w:p>
    <w:p>
      <w:pPr>
        <w:pStyle w:val="ListParagraph"/>
        <w:numPr>
          <w:ilvl w:val="0"/>
          <w:numId w:val="2"/>
        </w:numPr>
        <w:spacing w:after="60" w:before="60"/>
        <w:jc w:val="both"/>
      </w:pPr>
      <w:r>
        <w:rPr>
          <w:sz w:val="20"/>
          <w:szCs w:val="20"/>
        </w:rPr>
        <w:t xml:space="preserve">Suscripción anual: renovación automática cada 365 días, generalmente con descuento respecto al precio mensual equivalente.</w:t>
      </w:r>
    </w:p>
    <w:p>
      <w:pPr>
        <w:spacing w:after="80" w:before="80"/>
        <w:jc w:val="both"/>
      </w:pPr>
      <w:r>
        <w:rPr>
          <w:sz w:val="20"/>
          <w:szCs w:val="20"/>
        </w:rPr>
        <w:t xml:space="preserve">Todos los precios incluyen los impuestos aplicables en la jurisdicción del usuario, salvo indicación expresa en contrario. FitGO se reserva el derecho de modificar los precios de la suscripción, notificando a los suscriptores activos con al menos 30 días de antelación.</w:t>
      </w:r>
    </w:p>
    <w:p>
      <w:pPr>
        <w:pStyle w:val="Heading2"/>
        <w:spacing w:after="100" w:before="280"/>
      </w:pPr>
      <w:r>
        <w:rPr>
          <w:b/>
          <w:bCs/>
          <w:sz w:val="24"/>
          <w:szCs w:val="24"/>
        </w:rPr>
        <w:t xml:space="preserve">4.3 Facturación y Renovación Automática</w:t>
      </w:r>
    </w:p>
    <w:p>
      <w:pPr>
        <w:spacing w:after="80" w:before="80"/>
        <w:jc w:val="both"/>
      </w:pPr>
      <w:r>
        <w:rPr>
          <w:sz w:val="20"/>
          <w:szCs w:val="20"/>
        </w:rPr>
        <w:t xml:space="preserve">LAS SUSCRIPCIONES SE RENUEVAN AUTOMÁTICAMENTE AL FINAL DE CADA PERÍODO, A MENOS QUE EL USUARIO CANCELE LA SUSCRIPCIÓN AL MENOS 24 HORAS ANTES DEL FIN DEL PERÍODO EN CURSO. El cargo correspondiente al período siguiente se realizará a través de la cuenta de la tienda de aplicaciones del usuario (Apple ID o cuenta de Google) dentro de las 24 horas previas a la finalización del período vigente.</w:t>
      </w:r>
    </w:p>
    <w:p>
      <w:pPr>
        <w:spacing w:after="80" w:before="80"/>
        <w:jc w:val="both"/>
      </w:pPr>
      <w:r>
        <w:rPr>
          <w:sz w:val="20"/>
          <w:szCs w:val="20"/>
        </w:rPr>
        <w:t xml:space="preserve">La gestión del ciclo de vida de la suscripción (incluyendo la facturación, los reembolsos y las cancelaciones a través de las plataformas de las tiendas) es procesada por RevenueCat, Inc., actuando como procesador de pagos en nombre de FitGO.</w:t>
      </w:r>
    </w:p>
    <w:p>
      <w:pPr>
        <w:pStyle w:val="Heading2"/>
        <w:spacing w:after="100" w:before="280"/>
      </w:pPr>
      <w:r>
        <w:rPr>
          <w:b/>
          <w:bCs/>
          <w:sz w:val="24"/>
          <w:szCs w:val="24"/>
        </w:rPr>
        <w:t xml:space="preserve">4.4 Período de Prueba Gratuita</w:t>
      </w:r>
    </w:p>
    <w:p>
      <w:pPr>
        <w:spacing w:after="80" w:before="80"/>
        <w:jc w:val="both"/>
      </w:pPr>
      <w:r>
        <w:rPr>
          <w:sz w:val="20"/>
          <w:szCs w:val="20"/>
        </w:rPr>
        <w:t xml:space="preserve">En caso de que FitGO ofrezca un período de prueba gratuita del Plan Pro, dicho período estará claramente indicado en la Aplicación y en la tienda de aplicaciones. AL FINAL DEL PERÍODO DE PRUEBA, LA SUSCRIPCIÓN SE CONVERTIRÁ AUTOMÁTICAMENTE EN UNA SUSCRIPCIÓN DE PAGO SALVO QUE USTED LA CANCELE ANTES DEL VENCIMIENTO DEL PERÍODO DE PRUEBA.</w:t>
      </w:r>
    </w:p>
    <w:p>
      <w:pPr>
        <w:pStyle w:val="Heading2"/>
        <w:spacing w:after="100" w:before="280"/>
      </w:pPr>
      <w:r>
        <w:rPr>
          <w:b/>
          <w:bCs/>
          <w:sz w:val="24"/>
          <w:szCs w:val="24"/>
        </w:rPr>
        <w:t xml:space="preserve">4.5 Política de Cancelación</w:t>
      </w:r>
    </w:p>
    <w:p>
      <w:pPr>
        <w:spacing w:after="80" w:before="80"/>
        <w:jc w:val="both"/>
      </w:pPr>
      <w:r>
        <w:rPr>
          <w:sz w:val="20"/>
          <w:szCs w:val="20"/>
        </w:rPr>
        <w:t xml:space="preserve">Usted puede cancelar su suscripción en cualquier momento a través de los ajustes de su cuenta en la tienda de aplicaciones correspondiente (iOS: Configuración &gt; [su nombre] &gt; Suscripciones; Android: Google Play &gt; Suscripciones). La cancelación tendrá efecto al final del período de facturación vigente. El usuario conservará acceso a las funcionalidades Pro hasta el final del período ya pagado.</w:t>
      </w:r>
    </w:p>
    <w:p>
      <w:pPr>
        <w:pStyle w:val="Heading2"/>
        <w:spacing w:after="100" w:before="280"/>
      </w:pPr>
      <w:r>
        <w:rPr>
          <w:b/>
          <w:bCs/>
          <w:sz w:val="24"/>
          <w:szCs w:val="24"/>
        </w:rPr>
        <w:t xml:space="preserve">4.6 Política de Reembolso</w:t>
      </w:r>
    </w:p>
    <w:p>
      <w:pPr>
        <w:spacing w:after="80" w:before="80"/>
        <w:jc w:val="both"/>
      </w:pPr>
      <w:r>
        <w:rPr>
          <w:sz w:val="20"/>
          <w:szCs w:val="20"/>
        </w:rPr>
        <w:t xml:space="preserve">Las compras de suscripciones realizadas a través de Apple App Store o Google Play Store se rigen por las políticas de reembolso de Apple Inc. y Google LLC, respectivamente. FitGO no tramita directamente reembolsos de compras realizadas en tiendas de aplicaciones. Para solicitar un reembolso deberá dirigirse a:</w:t>
      </w:r>
    </w:p>
    <w:p>
      <w:pPr>
        <w:pStyle w:val="ListParagraph"/>
        <w:numPr>
          <w:ilvl w:val="0"/>
          <w:numId w:val="2"/>
        </w:numPr>
        <w:spacing w:after="60" w:before="60"/>
        <w:jc w:val="both"/>
      </w:pPr>
      <w:r>
        <w:rPr>
          <w:sz w:val="20"/>
          <w:szCs w:val="20"/>
        </w:rPr>
        <w:t xml:space="preserve">Apple: https://reportaproblem.apple.com</w:t>
      </w:r>
    </w:p>
    <w:p>
      <w:pPr>
        <w:pStyle w:val="ListParagraph"/>
        <w:numPr>
          <w:ilvl w:val="0"/>
          <w:numId w:val="2"/>
        </w:numPr>
        <w:spacing w:after="60" w:before="60"/>
        <w:jc w:val="both"/>
      </w:pPr>
      <w:r>
        <w:rPr>
          <w:sz w:val="20"/>
          <w:szCs w:val="20"/>
        </w:rPr>
        <w:t xml:space="preserve">Google: https://support.google.com/googleplay/answer/2479637</w:t>
      </w:r>
    </w:p>
    <w:p>
      <w:pPr>
        <w:spacing w:after="80" w:before="80"/>
        <w:jc w:val="both"/>
      </w:pPr>
      <w:r>
        <w:rPr>
          <w:sz w:val="20"/>
          <w:szCs w:val="20"/>
        </w:rPr>
        <w:t xml:space="preserve">Con carácter excepcional, FitGO podrá estudiar solicitudes de reembolso a través de legal@fitgo.app en casos de fallos técnicos graves atribuibles exclusivamente a FitGO que hayan impedido el uso de las funcionalidades Pro durante un período significativo.</w:t>
      </w:r>
    </w:p>
    <w:p>
      <w:pPr>
        <w:pBdr>
          <w:bottom w:val="single" w:color="CCCCCC" w:sz="4" w:space="1"/>
        </w:pBdr>
        <w:spacing w:after="120" w:before="120"/>
      </w:pPr>
    </w:p>
    <w:p>
      <w:pPr>
        <w:pStyle w:val="Heading1"/>
        <w:spacing w:after="120" w:before="360"/>
      </w:pPr>
      <w:r>
        <w:rPr>
          <w:b/>
          <w:bCs/>
          <w:sz w:val="28"/>
          <w:szCs w:val="28"/>
        </w:rPr>
        <w:t xml:space="preserve">CLÁUSULA 5. REGISTRO DE CUENTA Y OBLIGACIONES DEL USUARIO</w:t>
      </w:r>
    </w:p>
    <w:p>
      <w:pPr>
        <w:pStyle w:val="Heading2"/>
        <w:spacing w:after="100" w:before="280"/>
      </w:pPr>
      <w:r>
        <w:rPr>
          <w:b/>
          <w:bCs/>
          <w:sz w:val="24"/>
          <w:szCs w:val="24"/>
        </w:rPr>
        <w:t xml:space="preserve">5.1 Requisitos de Registro</w:t>
      </w:r>
    </w:p>
    <w:p>
      <w:pPr>
        <w:spacing w:after="80" w:before="80"/>
        <w:jc w:val="both"/>
      </w:pPr>
      <w:r>
        <w:rPr>
          <w:sz w:val="20"/>
          <w:szCs w:val="20"/>
        </w:rPr>
        <w:t xml:space="preserve">Para acceder a los Servicios, el usuario debe crear una cuenta proporcionando información veraz, precisa, actual y completa. El usuario es responsable de mantener actualizada dicha información.</w:t>
      </w:r>
    </w:p>
    <w:p>
      <w:pPr>
        <w:pStyle w:val="Heading2"/>
        <w:spacing w:after="100" w:before="280"/>
      </w:pPr>
      <w:r>
        <w:rPr>
          <w:b/>
          <w:bCs/>
          <w:sz w:val="24"/>
          <w:szCs w:val="24"/>
        </w:rPr>
        <w:t xml:space="preserve">5.2 Seguridad de la Cuenta</w:t>
      </w:r>
    </w:p>
    <w:p>
      <w:pPr>
        <w:spacing w:after="80" w:before="80"/>
        <w:jc w:val="both"/>
      </w:pPr>
      <w:r>
        <w:rPr>
          <w:sz w:val="20"/>
          <w:szCs w:val="20"/>
        </w:rPr>
        <w:t xml:space="preserve">El usuario es el único responsable de mantener la confidencialidad de sus credenciales de acceso (correo electrónico y contraseña) y de todas las actividades realizadas bajo su cuenta. En caso de acceso no autorizado o sospecha del mismo, el usuario debe notificarlo de inmediato a FitGO.</w:t>
      </w:r>
    </w:p>
    <w:p>
      <w:pPr>
        <w:pStyle w:val="Heading2"/>
        <w:spacing w:after="100" w:before="280"/>
      </w:pPr>
      <w:r>
        <w:rPr>
          <w:b/>
          <w:bCs/>
          <w:sz w:val="24"/>
          <w:szCs w:val="24"/>
        </w:rPr>
        <w:t xml:space="preserve">5.3 Conducta Prohibida</w:t>
      </w:r>
    </w:p>
    <w:p>
      <w:pPr>
        <w:spacing w:after="80" w:before="80"/>
        <w:jc w:val="both"/>
      </w:pPr>
      <w:r>
        <w:rPr>
          <w:sz w:val="20"/>
          <w:szCs w:val="20"/>
        </w:rPr>
        <w:t xml:space="preserve">El usuario se compromete a no realizar las siguientes conductas, sin carácter limitativo:</w:t>
      </w:r>
    </w:p>
    <w:p>
      <w:pPr>
        <w:pStyle w:val="ListParagraph"/>
        <w:numPr>
          <w:ilvl w:val="0"/>
          <w:numId w:val="2"/>
        </w:numPr>
        <w:spacing w:after="60" w:before="60"/>
        <w:jc w:val="both"/>
      </w:pPr>
      <w:r>
        <w:rPr>
          <w:sz w:val="20"/>
          <w:szCs w:val="20"/>
        </w:rPr>
        <w:t xml:space="preserve">Utilizar los Servicios para fines ilegales, fraudulentos o contrarios a la moral y el orden público.</w:t>
      </w:r>
    </w:p>
    <w:p>
      <w:pPr>
        <w:pStyle w:val="ListParagraph"/>
        <w:numPr>
          <w:ilvl w:val="0"/>
          <w:numId w:val="2"/>
        </w:numPr>
        <w:spacing w:after="60" w:before="60"/>
        <w:jc w:val="both"/>
      </w:pPr>
      <w:r>
        <w:rPr>
          <w:sz w:val="20"/>
          <w:szCs w:val="20"/>
        </w:rPr>
        <w:t xml:space="preserve">Suplantar la identidad de otras personas o entidades.</w:t>
      </w:r>
    </w:p>
    <w:p>
      <w:pPr>
        <w:pStyle w:val="ListParagraph"/>
        <w:numPr>
          <w:ilvl w:val="0"/>
          <w:numId w:val="2"/>
        </w:numPr>
        <w:spacing w:after="60" w:before="60"/>
        <w:jc w:val="both"/>
      </w:pPr>
      <w:r>
        <w:rPr>
          <w:sz w:val="20"/>
          <w:szCs w:val="20"/>
        </w:rPr>
        <w:t xml:space="preserve">Intentar obtener acceso no autorizado a los sistemas de FitGO o a las cuentas de otros usuarios.</w:t>
      </w:r>
    </w:p>
    <w:p>
      <w:pPr>
        <w:pStyle w:val="ListParagraph"/>
        <w:numPr>
          <w:ilvl w:val="0"/>
          <w:numId w:val="2"/>
        </w:numPr>
        <w:spacing w:after="60" w:before="60"/>
        <w:jc w:val="both"/>
      </w:pPr>
      <w:r>
        <w:rPr>
          <w:sz w:val="20"/>
          <w:szCs w:val="20"/>
        </w:rPr>
        <w:t xml:space="preserve">Distribuir contenido malicioso, difamatorio, obsceno o que vulnere derechos de terceros a través del sistema de chat o del sistema social.</w:t>
      </w:r>
    </w:p>
    <w:p>
      <w:pPr>
        <w:pStyle w:val="ListParagraph"/>
        <w:numPr>
          <w:ilvl w:val="0"/>
          <w:numId w:val="2"/>
        </w:numPr>
        <w:spacing w:after="60" w:before="60"/>
        <w:jc w:val="both"/>
      </w:pPr>
      <w:r>
        <w:rPr>
          <w:sz w:val="20"/>
          <w:szCs w:val="20"/>
        </w:rPr>
        <w:t xml:space="preserve">Manipular el sistema de puntuación de las Ligas FitGO de forma fraudulenta.</w:t>
      </w:r>
    </w:p>
    <w:p>
      <w:pPr>
        <w:pStyle w:val="ListParagraph"/>
        <w:numPr>
          <w:ilvl w:val="0"/>
          <w:numId w:val="2"/>
        </w:numPr>
        <w:spacing w:after="60" w:before="60"/>
        <w:jc w:val="both"/>
      </w:pPr>
      <w:r>
        <w:rPr>
          <w:sz w:val="20"/>
          <w:szCs w:val="20"/>
        </w:rPr>
        <w:t xml:space="preserve">Realizar ingeniería inversa, descompilar o intentar extraer el código fuente de la Aplicación.</w:t>
      </w:r>
    </w:p>
    <w:p>
      <w:pPr>
        <w:pStyle w:val="ListParagraph"/>
        <w:numPr>
          <w:ilvl w:val="0"/>
          <w:numId w:val="2"/>
        </w:numPr>
        <w:spacing w:after="60" w:before="60"/>
        <w:jc w:val="both"/>
      </w:pPr>
      <w:r>
        <w:rPr>
          <w:sz w:val="20"/>
          <w:szCs w:val="20"/>
        </w:rPr>
        <w:t xml:space="preserve">Usar bots, scripts u otras herramientas automatizadas para interactuar con los Servicios.</w:t>
      </w:r>
    </w:p>
    <w:p>
      <w:pPr>
        <w:pBdr>
          <w:bottom w:val="single" w:color="CCCCCC" w:sz="4" w:space="1"/>
        </w:pBdr>
        <w:spacing w:after="120" w:before="120"/>
      </w:pPr>
    </w:p>
    <w:p>
      <w:pPr>
        <w:pStyle w:val="Heading1"/>
        <w:spacing w:after="120" w:before="360"/>
      </w:pPr>
      <w:r>
        <w:rPr>
          <w:b/>
          <w:bCs/>
          <w:sz w:val="28"/>
          <w:szCs w:val="28"/>
        </w:rPr>
        <w:t xml:space="preserve">CLÁUSULA 6. PROPIEDAD INTELECTUAL</w:t>
      </w:r>
    </w:p>
    <w:p>
      <w:pPr>
        <w:spacing w:after="80" w:before="80"/>
        <w:jc w:val="both"/>
      </w:pPr>
      <w:r>
        <w:rPr>
          <w:sz w:val="20"/>
          <w:szCs w:val="20"/>
        </w:rPr>
        <w:t xml:space="preserve">FitGO y todos sus elementos constitutivos —incluyendo, sin limitación, el código fuente, el diseño visual, la interfaz de usuario, los logotipos, marcas, nombres comerciales, el sistema de gamificación, los algoritmos de cálculo nutricional y cualquier otro contenido generado por FitGO— son propiedad exclusiva de FitGO Technologies S.A.S. o de sus licenciantes, y están protegidos por las leyes de propiedad intelectual e industrial aplicables.</w:t>
      </w:r>
    </w:p>
    <w:p>
      <w:pPr>
        <w:spacing w:after="80" w:before="80"/>
        <w:jc w:val="both"/>
      </w:pPr>
      <w:r>
        <w:rPr>
          <w:sz w:val="20"/>
          <w:szCs w:val="20"/>
        </w:rPr>
        <w:t xml:space="preserve">Se concede al usuario una licencia personal, no exclusiva, no transferible, revocable y limitada para acceder y usar la Aplicación únicamente para los fines previstos y conforme a los presentes Términos. Esta licencia no implica la cesión de ningún derecho de propiedad intelectual.</w:t>
      </w:r>
    </w:p>
    <w:p>
      <w:pPr>
        <w:spacing w:after="80" w:before="80"/>
        <w:jc w:val="both"/>
      </w:pPr>
      <w:r>
        <w:rPr>
          <w:sz w:val="20"/>
          <w:szCs w:val="20"/>
        </w:rPr>
        <w:t xml:space="preserve">Los datos nutricionales proporcionados por la API de Edamam están sujetos a la licencia y términos de uso de dicho proveedor.</w:t>
      </w:r>
    </w:p>
    <w:p>
      <w:pPr>
        <w:pBdr>
          <w:bottom w:val="single" w:color="CCCCCC" w:sz="4" w:space="1"/>
        </w:pBdr>
        <w:spacing w:after="120" w:before="120"/>
      </w:pPr>
    </w:p>
    <w:p>
      <w:pPr>
        <w:pStyle w:val="Heading1"/>
        <w:spacing w:after="120" w:before="360"/>
      </w:pPr>
      <w:r>
        <w:rPr>
          <w:b/>
          <w:bCs/>
          <w:sz w:val="28"/>
          <w:szCs w:val="28"/>
        </w:rPr>
        <w:t xml:space="preserve">CLÁUSULA 7. DISPONIBILIDAD DEL SERVICIO Y EXCLUSIÓN DE GARANTÍAS</w:t>
      </w:r>
    </w:p>
    <w:p>
      <w:pPr>
        <w:spacing w:after="80" w:before="80"/>
        <w:jc w:val="both"/>
      </w:pPr>
      <w:r>
        <w:rPr>
          <w:sz w:val="20"/>
          <w:szCs w:val="20"/>
        </w:rPr>
        <w:t xml:space="preserve">FitGO se esfuerza por ofrecer un servicio de alta disponibilidad, pero no garantiza que la Aplicación esté disponible de forma ininterrumpida, libre de errores o completamente segura. Los Servicios se ofrecen 'TAL CUAL' ('AS IS') y 'SEGÚN DISPONIBILIDAD' ('AS AVAILABLE'), sin garantías de ningún tipo, ya sean expresas, implícitas o estatutarias, incluyendo, entre otras, garantías de comerciabilidad, idoneidad para un propósito particular o no infracción.</w:t>
      </w:r>
    </w:p>
    <w:p>
      <w:pPr>
        <w:spacing w:after="80" w:before="80"/>
        <w:jc w:val="both"/>
      </w:pPr>
      <w:r>
        <w:rPr>
          <w:sz w:val="20"/>
          <w:szCs w:val="20"/>
        </w:rPr>
        <w:t xml:space="preserve">FitGO no será responsable de las interrupciones, errores o pérdidas de datos que puedan producirse por causas ajenas a su control razonable, incluyendo fallos de los proveedores de servicios de terceros (Supabase, GROQ, RevenueCat, Edamam), interrupciones de conectividad a Internet o actuaciones de las tiendas de aplicaciones.</w:t>
      </w:r>
    </w:p>
    <w:p>
      <w:pPr>
        <w:pBdr>
          <w:bottom w:val="single" w:color="CCCCCC" w:sz="4" w:space="1"/>
        </w:pBdr>
        <w:spacing w:after="120" w:before="120"/>
      </w:pPr>
    </w:p>
    <w:p>
      <w:pPr>
        <w:pStyle w:val="Heading1"/>
        <w:spacing w:after="120" w:before="360"/>
      </w:pPr>
      <w:r>
        <w:rPr>
          <w:b/>
          <w:bCs/>
          <w:sz w:val="28"/>
          <w:szCs w:val="28"/>
        </w:rPr>
        <w:t xml:space="preserve">CLÁUSULA 8. LIMITACIÓN DE RESPONSABILIDAD</w:t>
      </w:r>
    </w:p>
    <w:p>
      <w:pPr>
        <w:spacing w:after="80" w:before="80"/>
        <w:jc w:val="both"/>
      </w:pPr>
      <w:r>
        <w:rPr>
          <w:sz w:val="20"/>
          <w:szCs w:val="20"/>
        </w:rPr>
        <w:t xml:space="preserve">EN LA MÁXIMA MEDIDA PERMITIDA POR LA LEY APLICABLE, LA RESPONSABILIDAD TOTAL ACUMULADA DE FITGO HACIA EL USUARIO POR CUALQUIER CAUSA, YA SEA EN CONTRATO, AGRAVIO (INCLUYENDO NEGLIGENCIA) O DE OTRO MODO, NO EXCEDERÁ EL IMPORTE TOTAL ABONADO POR EL USUARIO A FITGO EN LOS 12 MESES INMEDIATAMENTE ANTERIORES AL EVENTO QUE DIO LUGAR A LA RECLAMACIÓN, O 50 EUR / 50 USD (EL QUE SEA MAYOR), SI EL USUARIO NO HA REALIZADO NINGÚN PAGO.</w:t>
      </w:r>
    </w:p>
    <w:p>
      <w:pPr>
        <w:spacing w:after="80" w:before="80"/>
        <w:jc w:val="both"/>
      </w:pPr>
      <w:r>
        <w:rPr>
          <w:sz w:val="20"/>
          <w:szCs w:val="20"/>
        </w:rPr>
        <w:t xml:space="preserve">ESTA LIMITACIÓN DE RESPONSABILIDAD ES UNA PARTE ESENCIAL DEL ACUERDO ENTRE LAS PARTES Y SE APLICA INCLUSO SI FITGO HA SIDO INFORMADA DE LA POSIBILIDAD DE DICHOS DAÑOS. ALGUNAS JURISDICCIONES NO PERMITEN LA EXCLUSIÓN O LIMITACIÓN DE CIERTOS TIPOS DE RESPONSABILIDAD, POR LO QUE LAS LIMITACIONES ANTERIORES PUEDEN NO APLICARSE A USTED EN SU TOTALIDAD.</w:t>
      </w:r>
    </w:p>
    <w:p>
      <w:pPr>
        <w:pBdr>
          <w:bottom w:val="single" w:color="CCCCCC" w:sz="4" w:space="1"/>
        </w:pBdr>
        <w:spacing w:after="120" w:before="120"/>
      </w:pPr>
    </w:p>
    <w:p>
      <w:pPr>
        <w:pStyle w:val="Heading1"/>
        <w:spacing w:after="120" w:before="360"/>
      </w:pPr>
      <w:r>
        <w:rPr>
          <w:b/>
          <w:bCs/>
          <w:sz w:val="28"/>
          <w:szCs w:val="28"/>
        </w:rPr>
        <w:t xml:space="preserve">CLÁUSULA 9. SISTEMA DE GAMIFICACIÓN — AUSENCIA DE VALOR MONETARIO</w:t>
      </w:r>
    </w:p>
    <w:p>
      <w:pPr>
        <w:spacing w:after="80" w:before="80"/>
        <w:jc w:val="both"/>
      </w:pPr>
      <w:r>
        <w:rPr>
          <w:sz w:val="20"/>
          <w:szCs w:val="20"/>
        </w:rPr>
        <w:t xml:space="preserve">Los puntos, rangos, insignias, posiciones en tablas de clasificación y demás elementos del sistema de Ligas FitGO (incluyendo los tiers Carbono, Neón, Titanio, Cuarzo y Zenit) son elementos virtuales sin valor monetario real. Dichos elementos no son canjeables por dinero, bienes o servicios, no son transferibles entre cuentas y no constituyen ni representan activos, moneda virtual ni criptomonedas de ningún tipo.</w:t>
      </w:r>
    </w:p>
    <w:p>
      <w:pPr>
        <w:spacing w:after="80" w:before="80"/>
        <w:jc w:val="both"/>
      </w:pPr>
      <w:r>
        <w:rPr>
          <w:sz w:val="20"/>
          <w:szCs w:val="20"/>
        </w:rPr>
        <w:t xml:space="preserve">FitGO se reserva el derecho de modificar, restablecer, eliminar o descontinuar cualquier elemento del sistema de gamificación en cualquier momento, sin que ello genere derecho a compensación alguna para el usuario.</w:t>
      </w:r>
    </w:p>
    <w:p>
      <w:pPr>
        <w:pBdr>
          <w:bottom w:val="single" w:color="CCCCCC" w:sz="4" w:space="1"/>
        </w:pBdr>
        <w:spacing w:after="120" w:before="120"/>
      </w:pPr>
    </w:p>
    <w:p>
      <w:pPr>
        <w:pStyle w:val="Heading1"/>
        <w:spacing w:after="120" w:before="360"/>
      </w:pPr>
      <w:r>
        <w:rPr>
          <w:b/>
          <w:bCs/>
          <w:sz w:val="28"/>
          <w:szCs w:val="28"/>
        </w:rPr>
        <w:t xml:space="preserve">CLÁUSULA 10. CONTENIDO GENERADO POR EL USUARIO</w:t>
      </w:r>
    </w:p>
    <w:p>
      <w:pPr>
        <w:spacing w:after="80" w:before="80"/>
        <w:jc w:val="both"/>
      </w:pPr>
      <w:r>
        <w:rPr>
          <w:sz w:val="20"/>
          <w:szCs w:val="20"/>
        </w:rPr>
        <w:t xml:space="preserve">Al enviar contenido a través de la Aplicación (incluyendo mensajes en el chat del Squad, fotos de progreso o cualquier otro contenido), el usuario concede a FitGO una licencia mundial, no exclusiva, libre de regalías, sublicenciable y transferible para usar, reproducir, modificar, adaptar y distribuir dicho contenido únicamente en el contexto de la prestación de los Servicios y con el fin de mejorarlos.</w:t>
      </w:r>
    </w:p>
    <w:p>
      <w:pPr>
        <w:spacing w:after="80" w:before="80"/>
        <w:jc w:val="both"/>
      </w:pPr>
      <w:r>
        <w:rPr>
          <w:sz w:val="20"/>
          <w:szCs w:val="20"/>
        </w:rPr>
        <w:t xml:space="preserve">El usuario declara y garantiza que es titular de todos los derechos sobre el contenido que comparte o, en su defecto, que cuenta con todas las autorizaciones necesarias, y que dicho contenido no vulnera los derechos de terceros ni la legislación aplicable.</w:t>
      </w:r>
    </w:p>
    <w:p>
      <w:pPr>
        <w:pBdr>
          <w:bottom w:val="single" w:color="CCCCCC" w:sz="4" w:space="1"/>
        </w:pBdr>
        <w:spacing w:after="120" w:before="120"/>
      </w:pPr>
    </w:p>
    <w:p>
      <w:pPr>
        <w:pStyle w:val="Heading1"/>
        <w:spacing w:after="120" w:before="360"/>
      </w:pPr>
      <w:r>
        <w:rPr>
          <w:b/>
          <w:bCs/>
          <w:sz w:val="28"/>
          <w:szCs w:val="28"/>
        </w:rPr>
        <w:t xml:space="preserve">CLÁUSULA 11. TERMINACIÓN DEL SERVICIO Y ELIMINACIÓN DE CUENTA</w:t>
      </w:r>
    </w:p>
    <w:p>
      <w:pPr>
        <w:spacing w:after="80" w:before="80"/>
        <w:jc w:val="both"/>
      </w:pPr>
      <w:r>
        <w:rPr>
          <w:sz w:val="20"/>
          <w:szCs w:val="20"/>
        </w:rPr>
        <w:t xml:space="preserve">FitGO podrá suspender o terminar el acceso del usuario a los Servicios de forma inmediata y sin previo aviso en caso de incumplimiento grave de los presentes Términos, conducta fraudulenta, actividades ilegales o a petición de autoridades competentes.</w:t>
      </w:r>
    </w:p>
    <w:p>
      <w:pPr>
        <w:spacing w:after="80" w:before="80"/>
        <w:jc w:val="both"/>
      </w:pPr>
      <w:r>
        <w:rPr>
          <w:sz w:val="20"/>
          <w:szCs w:val="20"/>
        </w:rPr>
        <w:t xml:space="preserve">El usuario puede eliminar su cuenta en cualquier momento desde la sección de configuración de la Aplicación. Tras la eliminación de la cuenta, los datos del usuario serán tratados conforme a lo estipulado en la Política de Privacidad. Las suscripciones activas deberán cancelarse de forma independiente a través de la tienda de aplicaciones correspondiente antes de solicitar la eliminación de la cuenta.</w:t>
      </w:r>
    </w:p>
    <w:p>
      <w:pPr>
        <w:pBdr>
          <w:bottom w:val="single" w:color="CCCCCC" w:sz="4" w:space="1"/>
        </w:pBdr>
        <w:spacing w:after="120" w:before="120"/>
      </w:pPr>
    </w:p>
    <w:p>
      <w:pPr>
        <w:pStyle w:val="Heading1"/>
        <w:spacing w:after="120" w:before="360"/>
      </w:pPr>
      <w:r>
        <w:rPr>
          <w:b/>
          <w:bCs/>
          <w:sz w:val="28"/>
          <w:szCs w:val="28"/>
        </w:rPr>
        <w:t xml:space="preserve">CLÁUSULA 12. LEGISLACIÓN APLICABLE Y RESOLUCIÓN DE DISPUTAS</w:t>
      </w:r>
    </w:p>
    <w:p>
      <w:pPr>
        <w:spacing w:after="80" w:before="80"/>
        <w:jc w:val="both"/>
      </w:pPr>
      <w:r>
        <w:rPr>
          <w:sz w:val="20"/>
          <w:szCs w:val="20"/>
        </w:rPr>
        <w:t xml:space="preserve">Los presentes Términos se rigen e interpretan de conformidad con la legislación de la República de Colombia, sin perjuicio de las normas de conflicto de leyes que pudieran resultar aplicables a los usuarios ubicados en el Espacio Económico Europeo o en el Estado de California (EE.UU.), a quienes se les reconocen en todo caso los derechos imperativos derivados de la normativa de su país de residencia.</w:t>
      </w:r>
    </w:p>
    <w:p>
      <w:pPr>
        <w:spacing w:after="80" w:before="80"/>
        <w:jc w:val="both"/>
      </w:pPr>
      <w:r>
        <w:rPr>
          <w:sz w:val="20"/>
          <w:szCs w:val="20"/>
        </w:rPr>
        <w:t xml:space="preserve">Antes de iniciar cualquier procedimiento formal, las partes se comprometen a intentar resolver cualquier disputa de forma amistosa mediante comunicación directa. Cualquier controversia que no pueda resolverse amigablemente en el plazo de 60 días se someterá a los tribunales competentes del domicilio del usuario consumidor, salvo acuerdo expreso en contrario.</w:t>
      </w:r>
    </w:p>
    <w:p>
      <w:pPr>
        <w:spacing w:after="80" w:before="80"/>
        <w:jc w:val="both"/>
      </w:pPr>
      <w:r>
        <w:rPr>
          <w:sz w:val="20"/>
          <w:szCs w:val="20"/>
        </w:rPr>
        <w:t xml:space="preserve">Para usuarios en la Unión Europea: la Comisión Europea pone a disposición una plataforma de resolución de litigios en línea (ODR) disponible en https://ec.europa.eu/consumers/odr/</w:t>
      </w:r>
    </w:p>
    <w:p>
      <w:pPr>
        <w:pBdr>
          <w:bottom w:val="single" w:color="CCCCCC" w:sz="4" w:space="1"/>
        </w:pBdr>
        <w:spacing w:after="120" w:before="120"/>
      </w:pPr>
    </w:p>
    <w:p>
      <w:pPr>
        <w:pStyle w:val="Heading1"/>
        <w:spacing w:after="120" w:before="360"/>
      </w:pPr>
      <w:r>
        <w:rPr>
          <w:b/>
          <w:bCs/>
          <w:sz w:val="28"/>
          <w:szCs w:val="28"/>
        </w:rPr>
        <w:t xml:space="preserve">CLÁUSULA 13. MODIFICACIONES A LOS TÉRMINOS Y CONDICIONES</w:t>
      </w:r>
    </w:p>
    <w:p>
      <w:pPr>
        <w:spacing w:after="80" w:before="80"/>
        <w:jc w:val="both"/>
      </w:pPr>
      <w:r>
        <w:rPr>
          <w:sz w:val="20"/>
          <w:szCs w:val="20"/>
        </w:rPr>
        <w:t xml:space="preserve">FitGO se reserva el derecho de modificar los presentes Términos en cualquier momento. Los cambios materiales serán notificados al usuario con al menos 30 días de antelación mediante aviso prominente en la Aplicación y/o correo electrónico. El uso continuado de los Servicios tras la fecha de entrada en vigor de la versión modificada implicará la aceptación de los nuevos Términos.</w:t>
      </w:r>
    </w:p>
    <w:p>
      <w:pPr>
        <w:pBdr>
          <w:bottom w:val="single" w:color="CCCCCC" w:sz="4" w:space="1"/>
        </w:pBdr>
        <w:spacing w:after="120" w:before="120"/>
      </w:pPr>
    </w:p>
    <w:p>
      <w:pPr>
        <w:pStyle w:val="Heading1"/>
        <w:spacing w:after="120" w:before="360"/>
      </w:pPr>
      <w:r>
        <w:rPr>
          <w:b/>
          <w:bCs/>
          <w:sz w:val="28"/>
          <w:szCs w:val="28"/>
        </w:rPr>
        <w:t xml:space="preserve">CLÁUSULA 14. DIVISIBILIDAD E INTEGRACIÓN</w:t>
      </w:r>
    </w:p>
    <w:p>
      <w:pPr>
        <w:spacing w:after="80" w:before="80"/>
        <w:jc w:val="both"/>
      </w:pPr>
      <w:r>
        <w:rPr>
          <w:sz w:val="20"/>
          <w:szCs w:val="20"/>
        </w:rPr>
        <w:t xml:space="preserve">Si alguna disposición de los presentes Términos fuera declarada nula, inválida o inaplicable por un tribunal competente, dicha disposición se modificará en la medida mínima necesaria para hacerla válida y aplicable, y las restantes disposiciones continuarán en plena vigencia. Los presentes Términos, junto con la Política de Privacidad, constituyen el acuerdo íntegro entre el usuario y FitGO con respecto al objeto del mismo, y sustituyen a cualquier acuerdo o entendimiento previo, oral o escrito.</w:t>
      </w:r>
    </w:p>
    <w:p>
      <w:pPr>
        <w:pBdr>
          <w:bottom w:val="single" w:color="CCCCCC" w:sz="4" w:space="1"/>
        </w:pBdr>
        <w:spacing w:after="120" w:before="120"/>
      </w:pPr>
    </w:p>
    <w:p>
      <w:pPr>
        <w:pStyle w:val="Heading1"/>
        <w:spacing w:after="120" w:before="360"/>
      </w:pPr>
      <w:r>
        <w:rPr>
          <w:b/>
          <w:bCs/>
          <w:sz w:val="28"/>
          <w:szCs w:val="28"/>
        </w:rPr>
        <w:t xml:space="preserve">CLÁUSULA 15. CONTACTO</w:t>
      </w:r>
    </w:p>
    <w:p>
      <w:pPr>
        <w:spacing w:after="80" w:before="80"/>
        <w:jc w:val="both"/>
      </w:pPr>
      <w:r>
        <w:rPr>
          <w:sz w:val="20"/>
          <w:szCs w:val="20"/>
        </w:rPr>
        <w:t xml:space="preserve">Para cualquier consulta relativa a los presentes Términos y Condiciones, puede contactar con FitGO a través de:</w:t>
      </w:r>
    </w:p>
    <w:p>
      <w:pPr>
        <w:pStyle w:val="ListParagraph"/>
        <w:numPr>
          <w:ilvl w:val="0"/>
          <w:numId w:val="2"/>
        </w:numPr>
        <w:spacing w:after="60" w:before="60"/>
        <w:jc w:val="both"/>
      </w:pPr>
      <w:r>
        <w:rPr>
          <w:sz w:val="20"/>
          <w:szCs w:val="20"/>
        </w:rPr>
        <w:t xml:space="preserve">Correo electrónico: legal@fitgo.app</w:t>
      </w:r>
    </w:p>
    <w:p>
      <w:pPr>
        <w:pStyle w:val="ListParagraph"/>
        <w:numPr>
          <w:ilvl w:val="0"/>
          <w:numId w:val="2"/>
        </w:numPr>
        <w:spacing w:after="60" w:before="60"/>
        <w:jc w:val="both"/>
      </w:pPr>
      <w:r>
        <w:rPr>
          <w:sz w:val="20"/>
          <w:szCs w:val="20"/>
        </w:rPr>
        <w:t xml:space="preserve">Sitio web: https://www.fitgo.app</w:t>
      </w:r>
    </w:p>
    <w:p>
      <w:pPr>
        <w:spacing w:after="0" w:before="400"/>
      </w:pPr>
    </w:p>
    <w:p>
      <w:pPr>
        <w:jc w:val="center"/>
      </w:pPr>
      <w:r>
        <w:rPr>
          <w:i/>
          <w:iCs/>
          <w:color w:val="888888"/>
          <w:sz w:val="18"/>
          <w:szCs w:val="18"/>
        </w:rPr>
        <w:t xml:space="preserve">Última actualización: 28 de mayo de 2025</w:t>
      </w:r>
    </w:p>
    <w:sectPr>
      <w:headerReference w:type="default" r:id="rId7"/>
      <w:footerReference w:type="default" r:id="rId8"/>
      <w:pgSz w:w="11906" w:h="16838" w:orient="portrait"/>
      <w:pgMar w:top="1440" w:right="1296" w:bottom="144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after="0" w:before="80"/>
    </w:pPr>
    <w:r>
      <w:rPr>
        <w:color w:val="888888"/>
        <w:sz w:val="16"/>
        <w:szCs w:val="16"/>
      </w:rPr>
      <w:t xml:space="preserve">FitGO Technologies S.A.S.  •  https://www.fitgo.app  •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spacing w:after="80" w:before="0"/>
    </w:pPr>
    <w:r>
      <w:rPr>
        <w:color w:val="888888"/>
        <w:sz w:val="16"/>
        <w:szCs w:val="16"/>
      </w:rPr>
      <w:t xml:space="preserve">FitGO | Términos y Condiciones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F8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2026-05-28T20:16:20.325Z</dcterms:created>
  <dcterms:modified xsi:type="dcterms:W3CDTF">2026-05-28T20:16:20.325Z</dcterms:modified>
</cp:coreProperties>
</file>

<file path=docProps/custom.xml><?xml version="1.0" encoding="utf-8"?>
<Properties xmlns="http://schemas.openxmlformats.org/officeDocument/2006/custom-properties" xmlns:vt="http://schemas.openxmlformats.org/officeDocument/2006/docPropsVTypes"/>
</file>