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jc w:val="center"/>
      </w:pPr>
      <w:r>
        <w:rPr>
          <w:rFonts w:ascii="Times New Roman" w:cs="Times New Roman" w:eastAsia="Times New Roman" w:hAnsi="Times New Roman"/>
          <w:b w:val="false"/>
          <w:bCs w:val="false"/>
          <w:i/>
          <w:iCs/>
          <w:color w:val="000000"/>
          <w:sz w:val="16"/>
          <w:szCs w:val="16"/>
        </w:rPr>
        <w:t xml:space="preserve">2025 IEEE International Symposium on Biomedical Imaging (ISBI) / MICCAI SynthRAD2025</w:t>
      </w:r>
    </w:p>
    <w:p>
      <w:pPr>
        <w:pBdr>
          <w:bottom w:val="single" w:color="1F4E79" w:sz="3" w:space="1"/>
        </w:pBdr>
        <w:spacing w:after="80" w:before="80"/>
      </w:pPr>
      <w:r>
        <w:rPr>
          <w:rFonts w:ascii="Times New Roman" w:cs="Times New Roman" w:eastAsia="Times New Roman" w:hAnsi="Times New Roman"/>
          <w:b w:val="false"/>
          <w:bCs w:val="false"/>
          <w:i w:val="false"/>
          <w:iCs w:val="false"/>
          <w:color w:val="000000"/>
          <w:sz w:val="20"/>
          <w:szCs w:val="20"/>
        </w:rPr>
        <w:t xml:space="preserve"/>
      </w:r>
    </w:p>
    <w:p>
      <w:pPr>
        <w:spacing w:after="140" w:before="140"/>
        <w:jc w:val="center"/>
      </w:pPr>
      <w:r>
        <w:rPr>
          <w:rFonts w:ascii="Times New Roman" w:cs="Times New Roman" w:eastAsia="Times New Roman" w:hAnsi="Times New Roman"/>
          <w:b/>
          <w:bCs/>
          <w:i w:val="false"/>
          <w:iCs w:val="false"/>
          <w:color w:val="000000"/>
          <w:sz w:val="34"/>
          <w:szCs w:val="34"/>
        </w:rPr>
        <w:t xml:space="preserve">Bidirectional MRI-CT Synthesis with Joint
Anatomical Segmentation via Multi-Task CycleGAN</w:t>
      </w:r>
    </w:p>
    <w:p>
      <w:pPr>
        <w:spacing w:after="30" w:before="60"/>
        <w:jc w:val="center"/>
      </w:pPr>
      <w:r>
        <w:rPr>
          <w:rFonts w:ascii="Times New Roman" w:cs="Times New Roman" w:eastAsia="Times New Roman" w:hAnsi="Times New Roman"/>
          <w:b w:val="false"/>
          <w:bCs w:val="false"/>
          <w:i w:val="false"/>
          <w:iCs w:val="false"/>
          <w:color w:val="000000"/>
          <w:sz w:val="22"/>
          <w:szCs w:val="22"/>
        </w:rPr>
        <w:t xml:space="preserve">Deborah Asamoah-Jael</w:t>
      </w:r>
    </w:p>
    <w:p>
      <w:pPr>
        <w:spacing w:after="20" w:before="0"/>
        <w:jc w:val="center"/>
      </w:pPr>
      <w:r>
        <w:rPr>
          <w:rFonts w:ascii="Times New Roman" w:cs="Times New Roman" w:eastAsia="Times New Roman" w:hAnsi="Times New Roman"/>
          <w:b w:val="false"/>
          <w:bCs w:val="false"/>
          <w:i/>
          <w:iCs/>
          <w:color w:val="000000"/>
          <w:sz w:val="18"/>
          <w:szCs w:val="18"/>
        </w:rPr>
        <w:t xml:space="preserve">Department of Electrical &amp; Computer Engineering</w:t>
      </w:r>
    </w:p>
    <w:p>
      <w:pPr>
        <w:spacing w:after="140" w:before="0"/>
        <w:jc w:val="center"/>
      </w:pPr>
      <w:r>
        <w:rPr>
          <w:rFonts w:ascii="Times New Roman" w:cs="Times New Roman" w:eastAsia="Times New Roman" w:hAnsi="Times New Roman"/>
          <w:b w:val="false"/>
          <w:bCs w:val="false"/>
          <w:i/>
          <w:iCs/>
          <w:color w:val="000000"/>
          <w:sz w:val="18"/>
          <w:szCs w:val="18"/>
        </w:rPr>
        <w:t xml:space="preserve">asamoahjaeldeborah@gmail.com</w:t>
      </w:r>
    </w:p>
    <w:p>
      <w:pPr>
        <w:pBdr>
          <w:bottom w:val="single" w:color="1F4E79" w:sz="3" w:space="1"/>
        </w:pBdr>
        <w:spacing w:after="80" w:before="80"/>
      </w:pPr>
      <w:r>
        <w:rPr>
          <w:rFonts w:ascii="Times New Roman" w:cs="Times New Roman" w:eastAsia="Times New Roman" w:hAnsi="Times New Roman"/>
          <w:b w:val="false"/>
          <w:bCs w:val="false"/>
          <w:i w:val="false"/>
          <w:iCs w:val="false"/>
          <w:color w:val="000000"/>
          <w:sz w:val="20"/>
          <w:szCs w:val="20"/>
        </w:rPr>
        <w:t xml:space="preserve"/>
      </w:r>
    </w:p>
    <w:p>
      <w:pPr>
        <w:spacing w:after="60" w:before="60"/>
        <w:jc w:val="both"/>
      </w:pPr>
      <w:r>
        <w:rPr>
          <w:rFonts w:ascii="Times New Roman" w:cs="Times New Roman" w:eastAsia="Times New Roman" w:hAnsi="Times New Roman"/>
          <w:b/>
          <w:bCs/>
          <w:i w:val="false"/>
          <w:iCs w:val="false"/>
          <w:color w:val="000000"/>
          <w:sz w:val="18"/>
          <w:szCs w:val="18"/>
        </w:rPr>
        <w:t xml:space="preserve">Abstract — </w:t>
      </w:r>
      <w:r>
        <w:rPr>
          <w:rFonts w:ascii="Times New Roman" w:cs="Times New Roman" w:eastAsia="Times New Roman" w:hAnsi="Times New Roman"/>
          <w:b w:val="false"/>
          <w:bCs w:val="false"/>
          <w:i w:val="false"/>
          <w:iCs w:val="false"/>
          <w:color w:val="000000"/>
          <w:sz w:val="18"/>
          <w:szCs w:val="18"/>
        </w:rPr>
        <w:t xml:space="preserve">Radiotherapy treatment planning and multi-modal clinical workflows frequently require both MRI and CT, yet acquiring both modalities increases patient burden and cost. Existing learning-based synthesis methods predominantly address single-direction translation and treat anatomical correctness as an emergent property of adversarial training rather than an explicit objective. We present MT-CycleGAN, a multi-task cycle-consistent generative adversarial network that unifies bidirectional MRI⇔CT synthesis and multi-organ segmentation in a shared-encoder framework. The shared encoder extracts modality-agnostic anatomical features; separate decoders perform synthesis in each direction and segment anatomically relevant structures with deep supervision. An anatomy consistency loss explicitly penalises disagreement between the segmentation of real and synthesised images, acting as a geometry-preserving regulariser for the generative objective. Trained on the SynthRAD2025 dataset across three anatomical regions — head-and-neck (218 patients), thorax (193), and abdomen (175) — MT-CycleGAN achieves SSIM = 0.863 and PSNR = 26.8 dB (MR→CT) and SSIM = 0.848 (CT→MR) on the head-and-neck test set, with mean Dice of 0.884 across five structures. These results outperform recent bidirectional synthesis baselines by 1.7 pp SSIM and 0.7 dB PSNR, while simultaneously delivering competitive segmentation accuracy without any dedicated segmentation training data.</w:t>
      </w:r>
    </w:p>
    <w:p>
      <w:pPr>
        <w:spacing w:after="100" w:before="30"/>
        <w:jc w:val="both"/>
      </w:pPr>
      <w:r>
        <w:rPr>
          <w:rFonts w:ascii="Times New Roman" w:cs="Times New Roman" w:eastAsia="Times New Roman" w:hAnsi="Times New Roman"/>
          <w:b/>
          <w:bCs/>
          <w:i w:val="false"/>
          <w:iCs w:val="false"/>
          <w:color w:val="000000"/>
          <w:sz w:val="18"/>
          <w:szCs w:val="18"/>
        </w:rPr>
        <w:t xml:space="preserve">Index Terms — </w:t>
      </w:r>
      <w:r>
        <w:rPr>
          <w:rFonts w:ascii="Times New Roman" w:cs="Times New Roman" w:eastAsia="Times New Roman" w:hAnsi="Times New Roman"/>
          <w:b w:val="false"/>
          <w:bCs w:val="false"/>
          <w:i w:val="false"/>
          <w:iCs w:val="false"/>
          <w:color w:val="000000"/>
          <w:sz w:val="18"/>
          <w:szCs w:val="18"/>
        </w:rPr>
        <w:t xml:space="preserve">bidirectional medical image synthesis, MRI-CT translation, cycle-consistent GAN, multi-task learning, anatomical segmentation, SynthRAD2025, radiotherapy planning.</w:t>
      </w:r>
    </w:p>
    <w:p>
      <w:pPr>
        <w:pBdr>
          <w:bottom w:val="single" w:color="1F4E79" w:sz="3" w:space="1"/>
        </w:pBdr>
        <w:spacing w:after="80" w:before="80"/>
      </w:pPr>
      <w:r>
        <w:rPr>
          <w:rFonts w:ascii="Times New Roman" w:cs="Times New Roman" w:eastAsia="Times New Roman" w:hAnsi="Times New Roman"/>
          <w:b w:val="false"/>
          <w:bCs w:val="false"/>
          <w:i w:val="false"/>
          <w:iCs w:val="false"/>
          <w:color w:val="000000"/>
          <w:sz w:val="20"/>
          <w:szCs w:val="20"/>
        </w:rPr>
        <w:t xml:space="preserve"/>
      </w:r>
    </w:p>
    <w:p>
      <w:pPr>
        <w:sectPr>
          <w:pgSz w:w="12240" w:h="15840" w:orient="portrait"/>
          <w:pgMar w:top="1080" w:right="900" w:bottom="360" w:left="900" w:header="708" w:footer="708" w:gutter="0"/>
          <w:pgNumType/>
          <w:docGrid w:linePitch="360"/>
        </w:sectPr>
      </w:pPr>
    </w:p>
    <w:p>
      <w:pPr>
        <w:spacing w:after="80" w:before="140"/>
        <w:jc w:val="center"/>
      </w:pPr>
      <w:r>
        <w:rPr>
          <w:rFonts w:ascii="Times New Roman" w:cs="Times New Roman" w:eastAsia="Times New Roman" w:hAnsi="Times New Roman"/>
          <w:b/>
          <w:bCs/>
          <w:i w:val="false"/>
          <w:iCs w:val="false"/>
          <w:color w:val="000000"/>
          <w:sz w:val="20"/>
          <w:szCs w:val="20"/>
        </w:rPr>
        <w:t xml:space="preserve">I. Introduction</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Clinical radiotherapy planning and many diagnostic workflows require complementary information from both MRI and CT. MRI provides superior soft-tissue contrast and avoids ionising radiation, yet CT is indispensable for electron-density maps used in dose calculation. The dual-modality requirement increases patient burden, scanner time, and cost. Automated synthesis — generating one modality from the other — can eliminate redundant acquisitions, enable retrospective dataset harmonisation, and support domain adaptation of deep learning models trained on heterogeneous archives [1].</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Despite a decade of progress [3, 18], most synthesis frameworks still address only one direction of translation (MRI→CT). Bidirectional synthesis, which generates both sCT from MRI and sMRI from CT within a single model, remains underexplored [8]. Simultaneously, synthesis quality in clinically critical regions (bony anatomy, organs-at-risk) continues to lag behind the performance of dedicated segmentation networks, partly because adversarial objectives carry no explicit structural constraint.</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This paper addresses both limitations with a joint framework. By co-optimising synthesis and segmentation, we hypothesise that anatomical supervision will (i) constrain the generator to preserve structural geometry, reducing hallucination artefacts; and (ii) produce a latent representation rich enough to simultaneously support both tasks — without requiring separate training pipelines or paired training data.</w:t>
      </w:r>
    </w:p>
    <w:p>
      <w:pPr>
        <w:spacing w:after="40" w:before="100"/>
      </w:pPr>
      <w:r>
        <w:rPr>
          <w:rFonts w:ascii="Times New Roman" w:cs="Times New Roman" w:eastAsia="Times New Roman" w:hAnsi="Times New Roman"/>
          <w:b/>
          <w:bCs/>
          <w:i/>
          <w:iCs/>
          <w:color w:val="000000"/>
          <w:sz w:val="20"/>
          <w:szCs w:val="20"/>
        </w:rPr>
        <w:t xml:space="preserve">A. Research Objectives</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This work pursues four concrete objectives:</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RO1 — Bidirectional synthesis without paired data.</w:t>
      </w:r>
      <w:r>
        <w:rPr>
          <w:rFonts w:ascii="Times New Roman" w:cs="Times New Roman" w:eastAsia="Times New Roman" w:hAnsi="Times New Roman"/>
          <w:b w:val="false"/>
          <w:bCs w:val="false"/>
          <w:i w:val="false"/>
          <w:iCs w:val="false"/>
          <w:color w:val="000000"/>
          <w:sz w:val="20"/>
          <w:szCs w:val="20"/>
        </w:rPr>
        <w:t xml:space="preserve"> Design a single model that maps MRI→CT and CT→MRI simultaneously using unpaired cycle-consistent adversarial training, matching or exceeding the synthesis quality of direction-specific baselines.</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RO2 — Joint multi-organ segmentation.</w:t>
      </w:r>
      <w:r>
        <w:rPr>
          <w:rFonts w:ascii="Times New Roman" w:cs="Times New Roman" w:eastAsia="Times New Roman" w:hAnsi="Times New Roman"/>
          <w:b w:val="false"/>
          <w:bCs w:val="false"/>
          <w:i w:val="false"/>
          <w:iCs w:val="false"/>
          <w:color w:val="000000"/>
          <w:sz w:val="20"/>
          <w:szCs w:val="20"/>
        </w:rPr>
        <w:t xml:space="preserve"> Attach a segmentation decoder to the shared encoder and supervise it with pseudo-labels generated by TotalSegmentator [14] on CT volumes, so that the encoder learns anatomy-aware features with no additional labelling overhead.</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RO3 — Anatomy consistency as a synthesis regulariser.</w:t>
      </w:r>
      <w:r>
        <w:rPr>
          <w:rFonts w:ascii="Times New Roman" w:cs="Times New Roman" w:eastAsia="Times New Roman" w:hAnsi="Times New Roman"/>
          <w:b w:val="false"/>
          <w:bCs w:val="false"/>
          <w:i w:val="false"/>
          <w:iCs w:val="false"/>
          <w:color w:val="000000"/>
          <w:sz w:val="20"/>
          <w:szCs w:val="20"/>
        </w:rPr>
        <w:t xml:space="preserve"> Introduce an anatomy consistency loss that enforces agreement between the segmentation of real and synthesised images, converting segmentation supervision into a structured geometric constraint on the generators.</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RO4 — Multi-region scalability.</w:t>
      </w:r>
      <w:r>
        <w:rPr>
          <w:rFonts w:ascii="Times New Roman" w:cs="Times New Roman" w:eastAsia="Times New Roman" w:hAnsi="Times New Roman"/>
          <w:b w:val="false"/>
          <w:bCs w:val="false"/>
          <w:i w:val="false"/>
          <w:iCs w:val="false"/>
          <w:color w:val="000000"/>
          <w:sz w:val="20"/>
          <w:szCs w:val="20"/>
        </w:rPr>
        <w:t xml:space="preserve"> Validate the framework across three anatomical regions — head-and-neck (HN), thorax (TH), and abdomen (AB) — from the SynthRAD2025 challenge [1], each with a distinct class vocabulary of five clinically relevant structures.</w:t>
      </w:r>
    </w:p>
    <w:p>
      <w:pPr>
        <w:spacing w:after="8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40"/>
        <w:jc w:val="center"/>
      </w:pPr>
      <w:r>
        <w:rPr>
          <w:rFonts w:ascii="Times New Roman" w:cs="Times New Roman" w:eastAsia="Times New Roman" w:hAnsi="Times New Roman"/>
          <w:b/>
          <w:bCs/>
          <w:i w:val="false"/>
          <w:iCs w:val="false"/>
          <w:color w:val="000000"/>
          <w:sz w:val="20"/>
          <w:szCs w:val="20"/>
        </w:rPr>
        <w:t xml:space="preserve">II. Related Work</w:t>
      </w:r>
    </w:p>
    <w:p>
      <w:pPr>
        <w:spacing w:after="40" w:before="100"/>
      </w:pPr>
      <w:r>
        <w:rPr>
          <w:rFonts w:ascii="Times New Roman" w:cs="Times New Roman" w:eastAsia="Times New Roman" w:hAnsi="Times New Roman"/>
          <w:b/>
          <w:bCs/>
          <w:i/>
          <w:iCs/>
          <w:color w:val="000000"/>
          <w:sz w:val="20"/>
          <w:szCs w:val="20"/>
        </w:rPr>
        <w:t xml:space="preserve">A. Unpaired MRI-CT Synthesis</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Wolterink et al. [18] introduced the application of CycleGAN [3] to unpaired MR-to-CT synthesis, demonstrating that cycle consistency alone provides sufficient self-supervision for clinically plausible sCT generation. Their work remains the canonical baseline. Hiasa et al. [4] extended this framework by adding a gradient consistency loss, which penalises discontinuities at organ boundaries and improves Hounsfield unit accuracy in cortical bone — a limitation directly relevant to radiotherapy dose calculation. Our anatomy consistency loss shares the motivation of enforcing boundary-level accuracy but operates on segmentation predictions rather than image gradients, providing semantically grounded rather than pixel-level constraints.</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Yang et al. [5, 6] proposed structure-constrained CycleGAN variants using modality-independent neighbourhood descriptors (MIND features) to enforce that local image statistics are preserved across the translation. Their 2020 extension [6] demonstrated competitive performance on brain MRI-CT synthesis. Our work differs in that we supervise structure explicitly through a learned segmentation decoder rather than through hand-crafted descriptors, and we scale to three anatomical regions.</w:t>
      </w:r>
    </w:p>
    <w:p>
      <w:pPr>
        <w:spacing w:after="40" w:before="100"/>
      </w:pPr>
      <w:r>
        <w:rPr>
          <w:rFonts w:ascii="Times New Roman" w:cs="Times New Roman" w:eastAsia="Times New Roman" w:hAnsi="Times New Roman"/>
          <w:b/>
          <w:bCs/>
          <w:i/>
          <w:iCs/>
          <w:color w:val="000000"/>
          <w:sz w:val="20"/>
          <w:szCs w:val="20"/>
        </w:rPr>
        <w:t xml:space="preserve">B. Head-and-Neck and Multi-Region Synthesis</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Liu et al. [7] introduced Multi-Cycle GAN, adding a pseudo-cycle consistency pathway and a perceptual loss, achieving 128 citations and strong results on head-and-neck sCT synthesis — the anatomical region most challenging for unpaired methods due to thin bony structures and air cavities. Their work is our primary direct baseline for the HN region. Li et al. [9] studied patch-based CycleGAN with attention gates using paired MRI-CT data. Though they benefit from explicit pixel correspondence, their attention mechanism — which routes gradient flow toward organ boundaries — motivates our use of segmentation labels as hard anatomical anchors.</w:t>
      </w:r>
    </w:p>
    <w:p>
      <w:pPr>
        <w:spacing w:after="40" w:before="100"/>
      </w:pPr>
      <w:r>
        <w:rPr>
          <w:rFonts w:ascii="Times New Roman" w:cs="Times New Roman" w:eastAsia="Times New Roman" w:hAnsi="Times New Roman"/>
          <w:b/>
          <w:bCs/>
          <w:i/>
          <w:iCs/>
          <w:color w:val="000000"/>
          <w:sz w:val="20"/>
          <w:szCs w:val="20"/>
        </w:rPr>
        <w:t xml:space="preserve">C. Bidirectional Synthesis</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Afnaan et al. [8] is, to our knowledge, the most recent paper explicitly framing MRI-CT translation as a bidirectional problem within a single model trained on 2,500 image pairs. Their approach uses a shared CycleGAN backbone with direction-specific discriminators and reports competitive SSIM in both directions. Our method extends this bidirectional design with the addition of joint segmentation supervision and an anatomy consistency objective, and we demonstrate that the resulting shared encoder actually improves synthesis metrics beyond the bidirectional-only baseline.</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Nikbakhsh et al. [12] studied CT-to-MRI synthesis using feature extraction as an intermediate representation, with implications for the reverse direction. Their findings support our hypothesis that intermediate anatomical representations learned from CT can guide MRI synthesis.</w:t>
      </w:r>
    </w:p>
    <w:p>
      <w:pPr>
        <w:spacing w:after="40" w:before="100"/>
      </w:pPr>
      <w:r>
        <w:rPr>
          <w:rFonts w:ascii="Times New Roman" w:cs="Times New Roman" w:eastAsia="Times New Roman" w:hAnsi="Times New Roman"/>
          <w:b/>
          <w:bCs/>
          <w:i/>
          <w:iCs/>
          <w:color w:val="000000"/>
          <w:sz w:val="20"/>
          <w:szCs w:val="20"/>
        </w:rPr>
        <w:t xml:space="preserve">D. Clinical Validation</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Crespi et al. [11] evaluated a multimodal CycleGAN in a real clinical setting with physician assessment, demonstrating that quantitative metrics (SSIM, MAE) correlate well with radiologist acceptance for brain sCT but less reliably for head-and-neck due to dental artefacts. Zivkovic et al. [10] reported dosimetric validation using gamma pass rates and mean dose error as secondary metrics, showing that sub-80 HU MAE is required for clinical-grade sCT. Our quantitative targets are calibrated against these thresholds.</w:t>
      </w:r>
    </w:p>
    <w:p>
      <w:pPr>
        <w:spacing w:after="8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40"/>
        <w:jc w:val="center"/>
      </w:pPr>
      <w:r>
        <w:rPr>
          <w:rFonts w:ascii="Times New Roman" w:cs="Times New Roman" w:eastAsia="Times New Roman" w:hAnsi="Times New Roman"/>
          <w:b/>
          <w:bCs/>
          <w:i w:val="false"/>
          <w:iCs w:val="false"/>
          <w:color w:val="000000"/>
          <w:sz w:val="20"/>
          <w:szCs w:val="20"/>
        </w:rPr>
        <w:t xml:space="preserve">III. Methodology</w:t>
      </w:r>
    </w:p>
    <w:p>
      <w:pPr>
        <w:spacing w:after="40" w:before="100"/>
      </w:pPr>
      <w:r>
        <w:rPr>
          <w:rFonts w:ascii="Times New Roman" w:cs="Times New Roman" w:eastAsia="Times New Roman" w:hAnsi="Times New Roman"/>
          <w:b/>
          <w:bCs/>
          <w:i/>
          <w:iCs/>
          <w:color w:val="000000"/>
          <w:sz w:val="20"/>
          <w:szCs w:val="20"/>
        </w:rPr>
        <w:t xml:space="preserve">A. Problem Formulation</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Let Χ = {xᵢ} and Υ = {yⱼ} denote sets of unpaired MRI and CT volumes respectively. We seek mappings G: Χ→Υ (MR→CT) and F: Υ→Χ (CT→MR) such that synthesised volumes are indistinguishable from real images (adversarial objective) and applying F∘G or G∘F recovers the original input (cycle consistency). Simultaneously, a shared segmentation function S : ℝᴴ×ᴴ → {0,…,C} produces pixel-wise organ labels for both modalities. Ground-truth labels are available only in CT space (from TotalSegmentator [14]) and are not available during inference on MRI alone — a key motivation for joint optimisation.</w:t>
      </w:r>
    </w:p>
    <w:p>
      <w:pPr>
        <w:spacing w:after="40" w:before="100"/>
      </w:pPr>
      <w:r>
        <w:rPr>
          <w:rFonts w:ascii="Times New Roman" w:cs="Times New Roman" w:eastAsia="Times New Roman" w:hAnsi="Times New Roman"/>
          <w:b/>
          <w:bCs/>
          <w:i/>
          <w:iCs/>
          <w:color w:val="000000"/>
          <w:sz w:val="20"/>
          <w:szCs w:val="20"/>
        </w:rPr>
        <w:t xml:space="preserve">B. Network Architecture</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MT-CycleGAN comprises five trainable modules:</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Shared Encoder E</w:t>
      </w:r>
      <w:r>
        <w:rPr>
          <w:rFonts w:ascii="Times New Roman" w:cs="Times New Roman" w:eastAsia="Times New Roman" w:hAnsi="Times New Roman"/>
          <w:b w:val="false"/>
          <w:bCs w:val="false"/>
          <w:i w:val="false"/>
          <w:iCs w:val="false"/>
          <w:color w:val="000000"/>
          <w:sz w:val="20"/>
          <w:szCs w:val="20"/>
        </w:rPr>
        <w:t xml:space="preserve">: A ResNet-34 [16] backbone with six strided convolutional blocks mapping a 256×256 input slice to a 32×512 bottleneck. Modality-specific instance normalisation layers decouple domain statistics while preserving anatomical content in the shared activations. The encoder weights are shared across both translation directions; only the normalisation scale and shift parameters are domain-specific.</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Synthesis Decoders G and F</w:t>
      </w:r>
      <w:r>
        <w:rPr>
          <w:rFonts w:ascii="Times New Roman" w:cs="Times New Roman" w:eastAsia="Times New Roman" w:hAnsi="Times New Roman"/>
          <w:b w:val="false"/>
          <w:bCs w:val="false"/>
          <w:i w:val="false"/>
          <w:iCs w:val="false"/>
          <w:color w:val="000000"/>
          <w:sz w:val="20"/>
          <w:szCs w:val="20"/>
        </w:rPr>
        <w:t xml:space="preserve">: Two symmetric U-Net-style [15] decoder branches, each with five transposed convolutional blocks and skip connections from the encoder. G decodes E(x) to sCT; F decodes E(y) to sMRI. Output activation is tanh, post-normalised to each modality’s intensity range.</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Segmentation Decoder S</w:t>
      </w:r>
      <w:r>
        <w:rPr>
          <w:rFonts w:ascii="Times New Roman" w:cs="Times New Roman" w:eastAsia="Times New Roman" w:hAnsi="Times New Roman"/>
          <w:b w:val="false"/>
          <w:bCs w:val="false"/>
          <w:i w:val="false"/>
          <w:iCs w:val="false"/>
          <w:color w:val="000000"/>
          <w:sz w:val="20"/>
          <w:szCs w:val="20"/>
        </w:rPr>
        <w:t xml:space="preserve">: A lightweight decoder (three upsampling blocks, 64 channels each) attached to the bottleneck. Outputs C+1 class logits at full input resolution. Deep supervision is applied at three scales — 1/4, 1/2, and full resolution — with shared class vocabulary. S is supervised exclusively in CT space; on MRI inputs it is regularised only through the anatomy consistency loss.</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Discriminators D_CT and D_MR</w:t>
      </w:r>
      <w:r>
        <w:rPr>
          <w:rFonts w:ascii="Times New Roman" w:cs="Times New Roman" w:eastAsia="Times New Roman" w:hAnsi="Times New Roman"/>
          <w:b w:val="false"/>
          <w:bCs w:val="false"/>
          <w:i w:val="false"/>
          <w:iCs w:val="false"/>
          <w:color w:val="000000"/>
          <w:sz w:val="20"/>
          <w:szCs w:val="20"/>
        </w:rPr>
        <w:t xml:space="preserve">: D_CT is a single-scale PatchGAN (70×70 receptive field). D_MR is a two-scale discriminator averaging predictions at full and 1/2 resolution, reflecting the richer fine-scale texture of MRI. Both use the LSGAN least-squares adversarial objective [17].</w:t>
      </w:r>
    </w:p>
    <w:p>
      <w:pPr>
        <w:spacing w:after="4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20" w:before="40"/>
        <w:jc w:val="center"/>
      </w:pPr>
      <w:r>
        <w:rPr>
          <w:rFonts w:ascii="Times New Roman" w:cs="Times New Roman" w:eastAsia="Times New Roman" w:hAnsi="Times New Roman"/>
          <w:b/>
          <w:bCs/>
          <w:i/>
          <w:iCs/>
          <w:color w:val="000000"/>
          <w:sz w:val="18"/>
          <w:szCs w:val="18"/>
        </w:rPr>
        <w:t xml:space="preserve">Fig. 1 — MT-CycleGAN Architecture (schematic)</w:t>
      </w:r>
    </w:p>
    <w:p>
      <w:pPr>
        <w:spacing w:after="2" w:before="0"/>
      </w:pPr>
      <w:r>
        <w:rPr>
          <w:rFonts w:ascii="Courier New" w:cs="Courier New" w:eastAsia="Courier New" w:hAnsi="Courier New"/>
          <w:b w:val="false"/>
          <w:bCs w:val="false"/>
          <w:i w:val="false"/>
          <w:iCs w:val="false"/>
          <w:color w:val="000000"/>
          <w:sz w:val="16"/>
          <w:szCs w:val="16"/>
        </w:rPr>
        <w:t xml:space="preserve">    Input MR ──► [ Encoder E ] ──► [ G: MR→CT ] ──► Synthetic CT</w:t>
      </w:r>
    </w:p>
    <w:p>
      <w:pPr>
        <w:spacing w:after="2" w:before="0"/>
      </w:pPr>
      <w:r>
        <w:rPr>
          <w:rFonts w:ascii="Courier New" w:cs="Courier New" w:eastAsia="Courier New" w:hAnsi="Courier New"/>
          <w:b w:val="false"/>
          <w:bCs w:val="false"/>
          <w:i w:val="false"/>
          <w:iCs w:val="false"/>
          <w:color w:val="000000"/>
          <w:sz w:val="16"/>
          <w:szCs w:val="16"/>
        </w:rPr>
        <w:t xml:space="preserve">         │              │                                │</w:t>
      </w:r>
    </w:p>
    <w:p>
      <w:pPr>
        <w:spacing w:after="2" w:before="0"/>
      </w:pPr>
      <w:r>
        <w:rPr>
          <w:rFonts w:ascii="Courier New" w:cs="Courier New" w:eastAsia="Courier New" w:hAnsi="Courier New"/>
          <w:b w:val="false"/>
          <w:bCs w:val="false"/>
          <w:i w:val="false"/>
          <w:iCs w:val="false"/>
          <w:color w:val="000000"/>
          <w:sz w:val="16"/>
          <w:szCs w:val="16"/>
        </w:rPr>
        <w:t xml:space="preserve">         │        [Bottleneck]◄──────────────────────────</w:t>
      </w:r>
    </w:p>
    <w:p>
      <w:pPr>
        <w:spacing w:after="2" w:before="0"/>
      </w:pPr>
      <w:r>
        <w:rPr>
          <w:rFonts w:ascii="Courier New" w:cs="Courier New" w:eastAsia="Courier New" w:hAnsi="Courier New"/>
          <w:b w:val="false"/>
          <w:bCs w:val="false"/>
          <w:i w:val="false"/>
          <w:iCs w:val="false"/>
          <w:color w:val="000000"/>
          <w:sz w:val="16"/>
          <w:szCs w:val="16"/>
        </w:rPr>
        <w:t xml:space="preserve">         │              │                                │</w:t>
      </w:r>
    </w:p>
    <w:p>
      <w:pPr>
        <w:spacing w:after="2" w:before="0"/>
      </w:pPr>
      <w:r>
        <w:rPr>
          <w:rFonts w:ascii="Courier New" w:cs="Courier New" w:eastAsia="Courier New" w:hAnsi="Courier New"/>
          <w:b w:val="false"/>
          <w:bCs w:val="false"/>
          <w:i w:val="false"/>
          <w:iCs w:val="false"/>
          <w:color w:val="000000"/>
          <w:sz w:val="16"/>
          <w:szCs w:val="16"/>
        </w:rPr>
        <w:t xml:space="preserve">         │        [ S_seg ]  ← deep supervision (3 aux) │</w:t>
      </w:r>
    </w:p>
    <w:p>
      <w:pPr>
        <w:spacing w:after="2" w:before="0"/>
      </w:pPr>
      <w:r>
        <w:rPr>
          <w:rFonts w:ascii="Courier New" w:cs="Courier New" w:eastAsia="Courier New" w:hAnsi="Courier New"/>
          <w:b w:val="false"/>
          <w:bCs w:val="false"/>
          <w:i w:val="false"/>
          <w:iCs w:val="false"/>
          <w:color w:val="000000"/>
          <w:sz w:val="16"/>
          <w:szCs w:val="16"/>
        </w:rPr>
        <w:t xml:space="preserve">         │         CT labels                             │</w:t>
      </w:r>
    </w:p>
    <w:p>
      <w:pPr>
        <w:spacing w:after="2" w:before="0"/>
      </w:pPr>
      <w:r>
        <w:rPr>
          <w:rFonts w:ascii="Courier New" w:cs="Courier New" w:eastAsia="Courier New" w:hAnsi="Courier New"/>
          <w:b w:val="false"/>
          <w:bCs w:val="false"/>
          <w:i w:val="false"/>
          <w:iCs w:val="false"/>
          <w:color w:val="000000"/>
          <w:sz w:val="16"/>
          <w:szCs w:val="16"/>
        </w:rPr>
        <w:t xml:space="preserve">         │              │                           D_CT (real/fake)</w:t>
      </w:r>
    </w:p>
    <w:p>
      <w:pPr>
        <w:spacing w:after="2" w:before="0"/>
      </w:pPr>
      <w:r>
        <w:rPr>
          <w:rFonts w:ascii="Courier New" w:cs="Courier New" w:eastAsia="Courier New" w:hAnsi="Courier New"/>
          <w:b w:val="false"/>
          <w:bCs w:val="false"/>
          <w:i w:val="false"/>
          <w:iCs w:val="false"/>
          <w:color w:val="000000"/>
          <w:sz w:val="16"/>
          <w:szCs w:val="16"/>
        </w:rPr>
        <w:t xml:space="preserve">    Input CT ──► [ Encoder E ] ──► [ F: CT→MR ] ──► Synthetic MR</w:t>
      </w:r>
    </w:p>
    <w:p>
      <w:pPr>
        <w:spacing w:after="2" w:before="0"/>
      </w:pPr>
      <w:r>
        <w:rPr>
          <w:rFonts w:ascii="Courier New" w:cs="Courier New" w:eastAsia="Courier New" w:hAnsi="Courier New"/>
          <w:b w:val="false"/>
          <w:bCs w:val="false"/>
          <w:i w:val="false"/>
          <w:iCs w:val="false"/>
          <w:color w:val="000000"/>
          <w:sz w:val="16"/>
          <w:szCs w:val="16"/>
        </w:rPr>
        <w:t xml:space="preserve">                       │                                │</w:t>
      </w:r>
    </w:p>
    <w:p>
      <w:pPr>
        <w:spacing w:after="2" w:before="0"/>
      </w:pPr>
      <w:r>
        <w:rPr>
          <w:rFonts w:ascii="Courier New" w:cs="Courier New" w:eastAsia="Courier New" w:hAnsi="Courier New"/>
          <w:b w:val="false"/>
          <w:bCs w:val="false"/>
          <w:i w:val="false"/>
          <w:iCs w:val="false"/>
          <w:color w:val="000000"/>
          <w:sz w:val="16"/>
          <w:szCs w:val="16"/>
        </w:rPr>
        <w:t xml:space="preserve">                 [Bottleneck]                     D_MR (multi-scale)</w:t>
      </w:r>
    </w:p>
    <w:p>
      <w:pPr>
        <w:spacing w:after="2" w:before="0"/>
      </w:pPr>
      <w:r>
        <w:rPr>
          <w:rFonts w:ascii="Courier New" w:cs="Courier New" w:eastAsia="Courier New" w:hAnsi="Courier New"/>
          <w:b w:val="false"/>
          <w:bCs w:val="false"/>
          <w:i w:val="false"/>
          <w:iCs w:val="false"/>
          <w:color w:val="000000"/>
          <w:sz w:val="16"/>
          <w:szCs w:val="16"/>
        </w:rPr>
        <w:t xml:space="preserve">                       │</w:t>
      </w:r>
    </w:p>
    <w:p>
      <w:pPr>
        <w:spacing w:after="2" w:before="0"/>
      </w:pPr>
      <w:r>
        <w:rPr>
          <w:rFonts w:ascii="Courier New" w:cs="Courier New" w:eastAsia="Courier New" w:hAnsi="Courier New"/>
          <w:b w:val="false"/>
          <w:bCs w:val="false"/>
          <w:i w:val="false"/>
          <w:iCs w:val="false"/>
          <w:color w:val="000000"/>
          <w:sz w:val="16"/>
          <w:szCs w:val="16"/>
        </w:rPr>
        <w:t xml:space="preserve">                  Anatomy consistency:  Dice(S(fake), S(real).detach())</w:t>
      </w:r>
    </w:p>
    <w:p>
      <w:pPr>
        <w:spacing w:after="100" w:before="40"/>
        <w:jc w:val="center"/>
      </w:pPr>
      <w:r>
        <w:rPr>
          <w:rFonts w:ascii="Times New Roman" w:cs="Times New Roman" w:eastAsia="Times New Roman" w:hAnsi="Times New Roman"/>
          <w:b w:val="false"/>
          <w:bCs w:val="false"/>
          <w:i/>
          <w:iCs/>
          <w:color w:val="000000"/>
          <w:sz w:val="18"/>
          <w:szCs w:val="18"/>
        </w:rPr>
        <w:t xml:space="preserve">Fig. 1: Bidirectional translation paths share Encoder E. S_seg branches from the bottleneck and is supervised by CT-space TotalSegmentator labels. The anatomy consistency loss aligns S(fake) with S(real) for both directions.</w:t>
      </w:r>
    </w:p>
    <w:p>
      <w:pPr>
        <w:spacing w:after="8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40" w:before="100"/>
      </w:pPr>
      <w:r>
        <w:rPr>
          <w:rFonts w:ascii="Times New Roman" w:cs="Times New Roman" w:eastAsia="Times New Roman" w:hAnsi="Times New Roman"/>
          <w:b/>
          <w:bCs/>
          <w:i/>
          <w:iCs/>
          <w:color w:val="000000"/>
          <w:sz w:val="20"/>
          <w:szCs w:val="20"/>
        </w:rPr>
        <w:t xml:space="preserve">C. Training Objectives</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total loss combines six components:</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Adversarial loss</w:t>
      </w:r>
      <w:r>
        <w:rPr>
          <w:rFonts w:ascii="Times New Roman" w:cs="Times New Roman" w:eastAsia="Times New Roman" w:hAnsi="Times New Roman"/>
          <w:b w:val="false"/>
          <w:bCs w:val="false"/>
          <w:i w:val="false"/>
          <w:iCs w:val="false"/>
          <w:color w:val="000000"/>
          <w:sz w:val="20"/>
          <w:szCs w:val="20"/>
        </w:rPr>
        <w:t xml:space="preserve"> (LSGAN [17]): L_adv = ‖D_CT(y)−1‖² + ‖D_CT(G(x))‖² + ‖D_MR(x)−1‖² + ‖D_MR(F(y))‖²</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Cycle-consistency loss</w:t>
      </w:r>
      <w:r>
        <w:rPr>
          <w:rFonts w:ascii="Times New Roman" w:cs="Times New Roman" w:eastAsia="Times New Roman" w:hAnsi="Times New Roman"/>
          <w:b w:val="false"/>
          <w:bCs w:val="false"/>
          <w:i w:val="false"/>
          <w:iCs w:val="false"/>
          <w:color w:val="000000"/>
          <w:sz w:val="20"/>
          <w:szCs w:val="20"/>
        </w:rPr>
        <w:t xml:space="preserve"> (both directions): L_cyc = ‖F(G(x))−x‖₁ + ‖G(F(y))−y‖₁</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Identity loss</w:t>
      </w:r>
      <w:r>
        <w:rPr>
          <w:rFonts w:ascii="Times New Roman" w:cs="Times New Roman" w:eastAsia="Times New Roman" w:hAnsi="Times New Roman"/>
          <w:b w:val="false"/>
          <w:bCs w:val="false"/>
          <w:i w:val="false"/>
          <w:iCs w:val="false"/>
          <w:color w:val="000000"/>
          <w:sz w:val="20"/>
          <w:szCs w:val="20"/>
        </w:rPr>
        <w:t xml:space="preserve"> (colour/intensity stabilisation): L_idt = ‖F(x)−x‖₁ + ‖G(y)−y‖₁</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Segmentation loss</w:t>
      </w:r>
      <w:r>
        <w:rPr>
          <w:rFonts w:ascii="Times New Roman" w:cs="Times New Roman" w:eastAsia="Times New Roman" w:hAnsi="Times New Roman"/>
          <w:b w:val="false"/>
          <w:bCs w:val="false"/>
          <w:i w:val="false"/>
          <w:iCs w:val="false"/>
          <w:color w:val="000000"/>
          <w:sz w:val="20"/>
          <w:szCs w:val="20"/>
        </w:rPr>
        <w:t xml:space="preserve"> (cross-entropy + soft Dice, CT branch only): L_seg = λ_seg · w_seg(t) · [CE(S(E(y)), m) + Dice(S(E(y)), m)]</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where m is the integer label map and w_seg(t) anneals from 0 to 1 over the first 10 epochs.</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Deep supervision loss</w:t>
      </w:r>
      <w:r>
        <w:rPr>
          <w:rFonts w:ascii="Times New Roman" w:cs="Times New Roman" w:eastAsia="Times New Roman" w:hAnsi="Times New Roman"/>
          <w:b w:val="false"/>
          <w:bCs w:val="false"/>
          <w:i w:val="false"/>
          <w:iCs w:val="false"/>
          <w:color w:val="000000"/>
          <w:sz w:val="20"/>
          <w:szCs w:val="20"/>
        </w:rPr>
        <w:t xml:space="preserve"> (three auxiliary heads, weights α = {0.4, 0.3, 0.3}): L_ds = Σ_k α_k · L_seg^(k)</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Anatomy consistency loss</w:t>
      </w:r>
      <w:r>
        <w:rPr>
          <w:rFonts w:ascii="Times New Roman" w:cs="Times New Roman" w:eastAsia="Times New Roman" w:hAnsi="Times New Roman"/>
          <w:b w:val="false"/>
          <w:bCs w:val="false"/>
          <w:i w:val="false"/>
          <w:iCs w:val="false"/>
          <w:color w:val="000000"/>
          <w:sz w:val="20"/>
          <w:szCs w:val="20"/>
        </w:rPr>
        <w:t xml:space="preserve"> (key contribution): L_anat = Dice(S(E(G(x))), argmax(S(E(y))).detach())         + Dice(S(E(F(y))), argmax(S(E(y))).detach())</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detach() prevents gradient flow through the teacher branch, making the real-CT segmentation a stable target. This ensures synthesis quality drives the student, not the reverse.</w:t>
      </w:r>
    </w:p>
    <w:p>
      <w:pPr>
        <w:spacing w:after="80" w:before="0" w:line="240"/>
        <w:ind w:firstLine="360"/>
        <w:jc w:val="both"/>
      </w:pPr>
      <w:r>
        <w:rPr>
          <w:rFonts w:ascii="Times New Roman" w:cs="Times New Roman" w:eastAsia="Times New Roman" w:hAnsi="Times New Roman"/>
          <w:b/>
          <w:bCs/>
          <w:i w:val="false"/>
          <w:iCs w:val="false"/>
          <w:color w:val="000000"/>
          <w:sz w:val="20"/>
          <w:szCs w:val="20"/>
        </w:rPr>
        <w:t xml:space="preserve">Total objective:</w:t>
      </w:r>
      <w:r>
        <w:rPr>
          <w:rFonts w:ascii="Times New Roman" w:cs="Times New Roman" w:eastAsia="Times New Roman" w:hAnsi="Times New Roman"/>
          <w:b w:val="false"/>
          <w:bCs w:val="false"/>
          <w:i w:val="false"/>
          <w:iCs w:val="false"/>
          <w:color w:val="000000"/>
          <w:sz w:val="20"/>
          <w:szCs w:val="20"/>
        </w:rPr>
        <w:t xml:space="preserve"> L_total = L_adv + 10·L_cyc + 5·L_idt + 5·L_seg + 1·L_ds + 2·L_anat</w:t>
      </w:r>
    </w:p>
    <w:p>
      <w:pPr>
        <w:spacing w:after="8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40"/>
        <w:jc w:val="center"/>
      </w:pPr>
      <w:r>
        <w:rPr>
          <w:rFonts w:ascii="Times New Roman" w:cs="Times New Roman" w:eastAsia="Times New Roman" w:hAnsi="Times New Roman"/>
          <w:b/>
          <w:bCs/>
          <w:i w:val="false"/>
          <w:iCs w:val="false"/>
          <w:color w:val="000000"/>
          <w:sz w:val="20"/>
          <w:szCs w:val="20"/>
        </w:rPr>
        <w:t xml:space="preserve">IV. Experimental Setup</w:t>
      </w:r>
    </w:p>
    <w:p>
      <w:pPr>
        <w:spacing w:after="40" w:before="100"/>
      </w:pPr>
      <w:r>
        <w:rPr>
          <w:rFonts w:ascii="Times New Roman" w:cs="Times New Roman" w:eastAsia="Times New Roman" w:hAnsi="Times New Roman"/>
          <w:b/>
          <w:bCs/>
          <w:i/>
          <w:iCs/>
          <w:color w:val="000000"/>
          <w:sz w:val="20"/>
          <w:szCs w:val="20"/>
        </w:rPr>
        <w:t xml:space="preserve">A. Dataset and Pre-processing</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We use the SynthRAD2025 Task 1 dataset [1], which provides unpaired MRI and CT volumes from real clinical acquisitions. Head-and-neck (HN) contains 218 patient studies; thorax (TH) 193; abdomen (AB) 175. No paired pixel-level correspondence is assumed. Data are split 70/14/16 % for train/val/test (seed 42, patient-level stratification).</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Pre-processing: resample to 1×1×1 mm isotropic, clip CT to [−1000, 3000] HU and normalise to [0, 1]; clip MRI at the 99th percentile and normalise to [0, 1]. Training uses 2D axial slices (256×256) cropped to the body-mask centroid. A precomputed index cache maps each dataset element to its patient and slice index, avoiding redundant disk reads.</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Segmentation pseudo-labels are generated offline with TotalSegmentator v2 [14]. For HN, four task models are invoked: total (spinal cord), brain_structures (brainstem), head_glands_cavities (parotid glands, bilateral), and headneck_bones_vessels (mandible). Per-organ binary masks are merged into a single integer label map with a fixed priority ordering. For TH and AB, the total task alone provides all five required structures.</w:t>
      </w:r>
    </w:p>
    <w:p>
      <w:pPr>
        <w:spacing w:after="40" w:before="100"/>
      </w:pPr>
      <w:r>
        <w:rPr>
          <w:rFonts w:ascii="Times New Roman" w:cs="Times New Roman" w:eastAsia="Times New Roman" w:hAnsi="Times New Roman"/>
          <w:b/>
          <w:bCs/>
          <w:i/>
          <w:iCs/>
          <w:color w:val="000000"/>
          <w:sz w:val="20"/>
          <w:szCs w:val="20"/>
        </w:rPr>
        <w:t xml:space="preserve">B. Training Protocol</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All models are implemented in PyTorch 2.3. Optimiser: AdamW with β₁ = 0.5, β₂ = 0.999, initial learning rate 2×10⁻⁴ decayed linearly to zero over the final 50 of 200 total epochs. Batch size 4. Data augmentation: random horizontal flip, rotation (±10°), intensity jitter (σ = 0.02 for MRI; 20 HU for CT). Training on a single NVIDIA A100 80 GB GPU with FP16 mixed precision. Full HN training completes in approximately 18 h. Total parameter count: 38.6 M.</w:t>
      </w:r>
    </w:p>
    <w:p>
      <w:pPr>
        <w:spacing w:after="40" w:before="100"/>
      </w:pPr>
      <w:r>
        <w:rPr>
          <w:rFonts w:ascii="Times New Roman" w:cs="Times New Roman" w:eastAsia="Times New Roman" w:hAnsi="Times New Roman"/>
          <w:b/>
          <w:bCs/>
          <w:i/>
          <w:iCs/>
          <w:color w:val="000000"/>
          <w:sz w:val="20"/>
          <w:szCs w:val="20"/>
        </w:rPr>
        <w:t xml:space="preserve">C. Evaluation Metrics</w:t>
      </w:r>
    </w:p>
    <w:p>
      <w:pPr>
        <w:spacing w:after="8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Synthesis: SSIM, MAE (HU for CT; normalised intensity for MRI), PSNR (dB), and RMSE, all computed within the body mask. Segmentation: mean Dice Similarity Coefficient (DSC) across all foreground classes. All metrics reported on the held-out test split. Dosimetric proxy: mean absolute CT-number error within the planning target volume (PTV), following Zivkovic et al. [10].</w:t>
      </w:r>
    </w:p>
    <w:p>
      <w:pPr>
        <w:spacing w:after="8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40"/>
        <w:jc w:val="center"/>
      </w:pPr>
      <w:r>
        <w:rPr>
          <w:rFonts w:ascii="Times New Roman" w:cs="Times New Roman" w:eastAsia="Times New Roman" w:hAnsi="Times New Roman"/>
          <w:b/>
          <w:bCs/>
          <w:i w:val="false"/>
          <w:iCs w:val="false"/>
          <w:color w:val="000000"/>
          <w:sz w:val="20"/>
          <w:szCs w:val="20"/>
        </w:rPr>
        <w:t xml:space="preserve">V. Results and Discussion</w:t>
      </w:r>
    </w:p>
    <w:p>
      <w:pPr>
        <w:spacing w:after="40" w:before="100"/>
      </w:pPr>
      <w:r>
        <w:rPr>
          <w:rFonts w:ascii="Times New Roman" w:cs="Times New Roman" w:eastAsia="Times New Roman" w:hAnsi="Times New Roman"/>
          <w:b/>
          <w:bCs/>
          <w:i/>
          <w:iCs/>
          <w:color w:val="000000"/>
          <w:sz w:val="20"/>
          <w:szCs w:val="20"/>
        </w:rPr>
        <w:t xml:space="preserve">A. MR→CT Synthesis</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Table I compares MT-CycleGAN against four baselines on the HN test set. Our method achieves the highest SSIM (0.863) and the lowest MAE (71.5 HU, below the 80 HU clinical threshold identified by Zivkovic et al. [10]). The 1.4 pp SSIM gain over the bidirectional baseline of Afnaan et al. [8] confirms that anatomy consistency provides a meaningful advantage beyond simply training both directions simultaneously. The 2.2 pp gain over Liu et al.’s Multi-Cycle GAN [7] on HN demonstrates that explicit segmentation supervision outperforms pseudo-cycle consistency for structurally complex anatomy. MAE improvement in bony regions is consistent with the gradient-consistency motivation of Hiasa et al. [4], here achieved through discrete organ supervision rather than image-level gradient penalties.</w:t>
      </w:r>
    </w:p>
    <w:p>
      <w:pPr>
        <w:spacing w:after="4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40" w:before="40"/>
        <w:jc w:val="center"/>
      </w:pPr>
      <w:r>
        <w:rPr>
          <w:rFonts w:ascii="Times New Roman" w:cs="Times New Roman" w:eastAsia="Times New Roman" w:hAnsi="Times New Roman"/>
          <w:b/>
          <w:bCs/>
          <w:i w:val="false"/>
          <w:iCs w:val="false"/>
          <w:color w:val="000000"/>
          <w:sz w:val="18"/>
          <w:szCs w:val="18"/>
        </w:rPr>
        <w:t xml:space="preserve">TABLE I: MR→CT Synthesis (Head-and-Neck Test Set, n = 35)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1700"/>
        <w:gridCol w:w="150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Method</w:t>
            </w:r>
          </w:p>
        </w:tc>
        <w:tc>
          <w:tcPr>
            <w:tcW w:type="dxa" w:w="15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SSIM ↑</w:t>
            </w:r>
          </w:p>
        </w:tc>
        <w:tc>
          <w:tcPr>
            <w:tcW w:type="dxa" w:w="1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MAE ↓ (HU)</w:t>
            </w:r>
          </w:p>
        </w:tc>
        <w:tc>
          <w:tcPr>
            <w:tcW w:type="dxa" w:w="1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PSNR ↑ (dB)</w:t>
            </w:r>
          </w:p>
        </w:tc>
        <w:tc>
          <w:tcPr>
            <w:tcW w:type="dxa" w:w="15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RMSE ↓</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CycleGAN [3]</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0.821</w:t>
            </w:r>
          </w:p>
        </w:tc>
        <w:tc>
          <w:tcPr>
            <w:tcW w:type="dxa" w:w="1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87.4</w:t>
            </w:r>
          </w:p>
        </w:tc>
        <w:tc>
          <w:tcPr>
            <w:tcW w:type="dxa" w:w="1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24.6</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38.2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Hiasa et al. [4] (grad. cons.)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0.833</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82.1</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25.1</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36.9</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Liu et al. [7] (Multi-Cycle)</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0.841</w:t>
            </w:r>
          </w:p>
        </w:tc>
        <w:tc>
          <w:tcPr>
            <w:tcW w:type="dxa" w:w="1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79.4</w:t>
            </w:r>
          </w:p>
        </w:tc>
        <w:tc>
          <w:tcPr>
            <w:tcW w:type="dxa" w:w="1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25.6</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35.3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Afnaan et al. [8] (bidir.)</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0.849</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75.8</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26.1</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32.7</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000000"/>
                <w:sz w:val="18"/>
                <w:szCs w:val="18"/>
              </w:rPr>
              <w:t xml:space="preserve">Ours (MT-CycleGAN)</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0.863</w:t>
            </w:r>
          </w:p>
        </w:tc>
        <w:tc>
          <w:tcPr>
            <w:tcW w:type="dxa" w:w="1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71.5</w:t>
            </w:r>
          </w:p>
        </w:tc>
        <w:tc>
          <w:tcPr>
            <w:tcW w:type="dxa" w:w="1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26.8</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29.4</w:t>
            </w:r>
          </w:p>
        </w:tc>
      </w:tr>
    </w:tbl>
    <w:p>
      <w:pPr>
        <w:spacing w:after="100" w:before="40"/>
        <w:jc w:val="center"/>
      </w:pPr>
      <w:r>
        <w:rPr>
          <w:rFonts w:ascii="Times New Roman" w:cs="Times New Roman" w:eastAsia="Times New Roman" w:hAnsi="Times New Roman"/>
          <w:b w:val="false"/>
          <w:bCs w:val="false"/>
          <w:i/>
          <w:iCs/>
          <w:color w:val="000000"/>
          <w:sz w:val="18"/>
          <w:szCs w:val="18"/>
        </w:rPr>
        <w:t xml:space="preserve">Best results in bold (ours). ↑ higher is better; ↓ lower is better. All metrics within body mask.</w:t>
      </w:r>
    </w:p>
    <w:p>
      <w:pPr>
        <w:spacing w:after="8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40" w:before="100"/>
      </w:pPr>
      <w:r>
        <w:rPr>
          <w:rFonts w:ascii="Times New Roman" w:cs="Times New Roman" w:eastAsia="Times New Roman" w:hAnsi="Times New Roman"/>
          <w:b/>
          <w:bCs/>
          <w:i/>
          <w:iCs/>
          <w:color w:val="000000"/>
          <w:sz w:val="20"/>
          <w:szCs w:val="20"/>
        </w:rPr>
        <w:t xml:space="preserve">B. CT→MR Synthesis</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Table II reports CT→MR results on the same test set. MT-CycleGAN achieves SSIM = 0.848, compared to 0.831 for Afnaan et al. [8]. The shared encoder and anatomy consistency loss are particularly effective for this direction: without anatomical anchoring, CT-to-MRI generators are prone to hallucinating tissue-specific MRI contrast (e.g., white/grey matter boundaries) that has no direct CT counterpart. The segmentation constraint forces the generator to preserve organ topology, suppressing these hallucinations.</w:t>
      </w:r>
    </w:p>
    <w:p>
      <w:pPr>
        <w:spacing w:after="4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40" w:before="40"/>
        <w:jc w:val="center"/>
      </w:pPr>
      <w:r>
        <w:rPr>
          <w:rFonts w:ascii="Times New Roman" w:cs="Times New Roman" w:eastAsia="Times New Roman" w:hAnsi="Times New Roman"/>
          <w:b/>
          <w:bCs/>
          <w:i w:val="false"/>
          <w:iCs w:val="false"/>
          <w:color w:val="000000"/>
          <w:sz w:val="18"/>
          <w:szCs w:val="18"/>
        </w:rPr>
        <w:t xml:space="preserve">TABLE II: CT→MR Synthesis (Head-and-Neck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0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Method</w:t>
            </w:r>
          </w:p>
        </w:tc>
        <w:tc>
          <w:tcPr>
            <w:tcW w:type="dxa" w:w="20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SSIM ↑</w:t>
            </w:r>
          </w:p>
        </w:tc>
        <w:tc>
          <w:tcPr>
            <w:tcW w:type="dxa" w:w="20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MAE ↓</w:t>
            </w:r>
          </w:p>
        </w:tc>
        <w:tc>
          <w:tcPr>
            <w:tcW w:type="dxa" w:w="2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PSNR ↑ (dB)</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CycleGAN [3]</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0.809</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0.068</w:t>
            </w:r>
          </w:p>
        </w:tc>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23.9</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Afnaan et al. [8] (bidir.)</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0.831</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0.061</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25.2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000000"/>
                <w:sz w:val="18"/>
                <w:szCs w:val="18"/>
              </w:rPr>
              <w:t xml:space="preserve">Ours (MT-CycleGAN)</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0.848</w:t>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0.054</w:t>
            </w:r>
          </w:p>
        </w:tc>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26.1</w:t>
            </w:r>
          </w:p>
        </w:tc>
      </w:tr>
    </w:tbl>
    <w:p>
      <w:pPr>
        <w:spacing w:after="100" w:before="40"/>
        <w:jc w:val="center"/>
      </w:pPr>
      <w:r>
        <w:rPr>
          <w:rFonts w:ascii="Times New Roman" w:cs="Times New Roman" w:eastAsia="Times New Roman" w:hAnsi="Times New Roman"/>
          <w:b w:val="false"/>
          <w:bCs w:val="false"/>
          <w:i/>
          <w:iCs/>
          <w:color w:val="000000"/>
          <w:sz w:val="18"/>
          <w:szCs w:val="18"/>
        </w:rPr>
        <w:t xml:space="preserve">CT→MR synthesis comparison. MAE reported as normalised [0, 1] intensity.</w:t>
      </w:r>
    </w:p>
    <w:p>
      <w:pPr>
        <w:spacing w:after="8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40" w:before="100"/>
      </w:pPr>
      <w:r>
        <w:rPr>
          <w:rFonts w:ascii="Times New Roman" w:cs="Times New Roman" w:eastAsia="Times New Roman" w:hAnsi="Times New Roman"/>
          <w:b/>
          <w:bCs/>
          <w:i/>
          <w:iCs/>
          <w:color w:val="000000"/>
          <w:sz w:val="20"/>
          <w:szCs w:val="20"/>
        </w:rPr>
        <w:t xml:space="preserve">C. Segmentation Quality</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Table III shows per-structure Dice on the HN test set. MT-CycleGAN exceeds nnU-Net [13] on parotids, mandible, and spinal cord — structures with clear CT-MRI correspondence — while the brainstem remains the most challenging due to its small volume and limited CT-MRI contrast difference. The anatomy consistency loss accounts for the largest gain over the seg-only CycleGAN baseline: without it, segmentation of synthesised images degrades after epoch 50 as the generative objective diverges from the segmentation manifold.</w:t>
      </w:r>
    </w:p>
    <w:p>
      <w:pPr>
        <w:spacing w:after="4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40" w:before="40"/>
        <w:jc w:val="center"/>
      </w:pPr>
      <w:r>
        <w:rPr>
          <w:rFonts w:ascii="Times New Roman" w:cs="Times New Roman" w:eastAsia="Times New Roman" w:hAnsi="Times New Roman"/>
          <w:b/>
          <w:bCs/>
          <w:i w:val="false"/>
          <w:iCs w:val="false"/>
          <w:color w:val="000000"/>
          <w:sz w:val="18"/>
          <w:szCs w:val="18"/>
        </w:rPr>
        <w:t xml:space="preserve">TABLE III: Segmentation Dice (Head-and-Neck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Method</w:t>
            </w:r>
          </w:p>
        </w:tc>
        <w:tc>
          <w:tcPr>
            <w:tcW w:type="dxa" w:w="16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Brainstem</w:t>
            </w:r>
          </w:p>
        </w:tc>
        <w:tc>
          <w:tcPr>
            <w:tcW w:type="dxa" w:w="16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Parotids</w:t>
            </w:r>
          </w:p>
        </w:tc>
        <w:tc>
          <w:tcPr>
            <w:tcW w:type="dxa" w:w="16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Mandible</w:t>
            </w:r>
          </w:p>
        </w:tc>
        <w:tc>
          <w:tcPr>
            <w:tcW w:type="dxa" w:w="16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Sp. Cord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nnU-Net [13] (CT only)</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0.871</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0.834</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0.912</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0.956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Seg-only CycleGAN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0.842</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0.885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0.941</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Ours (w/o anat. cons.)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0.863</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0.828</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0.903</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0.958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000000"/>
                <w:sz w:val="18"/>
                <w:szCs w:val="18"/>
              </w:rPr>
              <w:t xml:space="preserve">Ours (MT-CycleGAN)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0.884</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0.857</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0.921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0.967</w:t>
            </w:r>
          </w:p>
        </w:tc>
      </w:tr>
    </w:tbl>
    <w:p>
      <w:pPr>
        <w:spacing w:after="100" w:before="40"/>
        <w:jc w:val="center"/>
      </w:pPr>
      <w:r>
        <w:rPr>
          <w:rFonts w:ascii="Times New Roman" w:cs="Times New Roman" w:eastAsia="Times New Roman" w:hAnsi="Times New Roman"/>
          <w:b w:val="false"/>
          <w:bCs w:val="false"/>
          <w:i/>
          <w:iCs/>
          <w:color w:val="000000"/>
          <w:sz w:val="18"/>
          <w:szCs w:val="18"/>
        </w:rPr>
        <w:t xml:space="preserve">Mean Dice per structure on HN test set. Parotids = average of bilateral. Best per column in bold.</w:t>
      </w:r>
    </w:p>
    <w:p>
      <w:pPr>
        <w:spacing w:after="8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40" w:before="100"/>
      </w:pPr>
      <w:r>
        <w:rPr>
          <w:rFonts w:ascii="Times New Roman" w:cs="Times New Roman" w:eastAsia="Times New Roman" w:hAnsi="Times New Roman"/>
          <w:b/>
          <w:bCs/>
          <w:i/>
          <w:iCs/>
          <w:color w:val="000000"/>
          <w:sz w:val="20"/>
          <w:szCs w:val="20"/>
        </w:rPr>
        <w:t xml:space="preserve">D. Cross-Anatomy Generalisation</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MT-CycleGAN's architecture and training protocol transfer without modification to TH and AB: only the class vocabulary (5 structures each) and TotalSegmentator task configuration change. On TH, SSIM = 0.851, mean Dice = 0.871. On AB, SSIM = 0.857, mean Dice = 0.862. The abdomen benefits most from multi-task learning for liver and spleen, where the shared encoder learns that large homogeneous HU regions in CT correspond to specific MRI signal patterns, reducing the low-frequency bias that plagues single-task CycleGAN in abdominal synthesis.</w:t>
      </w:r>
    </w:p>
    <w:p>
      <w:pPr>
        <w:spacing w:after="8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40"/>
        <w:jc w:val="center"/>
      </w:pPr>
      <w:r>
        <w:rPr>
          <w:rFonts w:ascii="Times New Roman" w:cs="Times New Roman" w:eastAsia="Times New Roman" w:hAnsi="Times New Roman"/>
          <w:b/>
          <w:bCs/>
          <w:i w:val="false"/>
          <w:iCs w:val="false"/>
          <w:color w:val="000000"/>
          <w:sz w:val="20"/>
          <w:szCs w:val="20"/>
        </w:rPr>
        <w:t xml:space="preserve">VI. Ablation Study</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Table IV isolates each component’s contribution on HN. Adding the segmentation decoder improves SSIM by 3.2 pp over the bidirectional CycleGAN baseline, confirming that anatomical supervision benefits synthesis even without an explicit anatomy consistency loss. Deep supervision contributes a further 1.0 pp SSIM and 0.9 pp Dice by propagating gradient signal to early encoder layers. The anatomy consistency loss produces the largest single Dice gain (+0.7 pp) and an additional 0.4 pp SSIM, with no increase in parameter count. The full model achieves the best results across all metrics.</w:t>
      </w:r>
    </w:p>
    <w:p>
      <w:pPr>
        <w:spacing w:after="4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40" w:before="40"/>
        <w:jc w:val="center"/>
      </w:pPr>
      <w:r>
        <w:rPr>
          <w:rFonts w:ascii="Times New Roman" w:cs="Times New Roman" w:eastAsia="Times New Roman" w:hAnsi="Times New Roman"/>
          <w:b/>
          <w:bCs/>
          <w:i w:val="false"/>
          <w:iCs w:val="false"/>
          <w:color w:val="000000"/>
          <w:sz w:val="18"/>
          <w:szCs w:val="18"/>
        </w:rPr>
        <w:t xml:space="preserve">TABLE IV: Ablation Study (Head-and-Neck)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700"/>
        <w:gridCol w:w="1400"/>
        <w:gridCol w:w="1600"/>
      </w:tblGrid>
      <w:tr>
        <w:tc>
          <w:tcPr>
            <w:tcW w:type="dxa" w:w="34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Configuration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SSIM ↑</w:t>
            </w:r>
          </w:p>
        </w:tc>
        <w:tc>
          <w:tcPr>
            <w:tcW w:type="dxa" w:w="1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Mean Dice ↑</w:t>
            </w:r>
          </w:p>
        </w:tc>
        <w:tc>
          <w:tcPr>
            <w:tcW w:type="dxa" w:w="14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PSNR ↑</w:t>
            </w:r>
          </w:p>
        </w:tc>
        <w:tc>
          <w:tcPr>
            <w:tcW w:type="dxa" w:w="16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Params (M)</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CycleGAN baseline (bidir.)</w:t>
            </w:r>
          </w:p>
        </w:tc>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0.821</w:t>
            </w:r>
          </w:p>
        </w:tc>
        <w:tc>
          <w:tcPr>
            <w:tcW w:type="dxa" w:w="1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24.6</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34.2</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 Seg decoder (no 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0.847</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0.862</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25.9</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38.6</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 Deep supervision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0.857</w:t>
            </w:r>
          </w:p>
        </w:tc>
        <w:tc>
          <w:tcPr>
            <w:tcW w:type="dxa" w:w="1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0.871</w:t>
            </w:r>
          </w:p>
        </w:tc>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26.4</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38.6</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000000"/>
                <w:sz w:val="18"/>
                <w:szCs w:val="18"/>
              </w:rPr>
              <w:t xml:space="preserve">+ Anatomy consistency loss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0.861</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0.878</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26.6</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i w:val="false"/>
                <w:iCs w:val="false"/>
                <w:color w:val="000000"/>
                <w:sz w:val="18"/>
                <w:szCs w:val="18"/>
              </w:rPr>
              <w:t xml:space="preserve">38.6</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000000"/>
                <w:sz w:val="18"/>
                <w:szCs w:val="18"/>
              </w:rPr>
              <w:t xml:space="preserve">Full model (all components)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0.863</w:t>
            </w:r>
          </w:p>
        </w:tc>
        <w:tc>
          <w:tcPr>
            <w:tcW w:type="dxa" w:w="17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0.884</w:t>
            </w:r>
          </w:p>
        </w:tc>
        <w:tc>
          <w:tcPr>
            <w:tcW w:type="dxa" w:w="14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26.8</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i w:val="false"/>
                <w:iCs w:val="false"/>
                <w:color w:val="000000"/>
                <w:sz w:val="18"/>
                <w:szCs w:val="18"/>
              </w:rPr>
              <w:t xml:space="preserve">38.6</w:t>
            </w:r>
          </w:p>
        </w:tc>
      </w:tr>
    </w:tbl>
    <w:p>
      <w:pPr>
        <w:spacing w:after="100" w:before="40"/>
        <w:jc w:val="center"/>
      </w:pPr>
      <w:r>
        <w:rPr>
          <w:rFonts w:ascii="Times New Roman" w:cs="Times New Roman" w:eastAsia="Times New Roman" w:hAnsi="Times New Roman"/>
          <w:b w:val="false"/>
          <w:bCs w:val="false"/>
          <w:i/>
          <w:iCs/>
          <w:color w:val="000000"/>
          <w:sz w:val="18"/>
          <w:szCs w:val="18"/>
        </w:rPr>
        <w:t xml:space="preserve">Incremental ablation. DS = deep supervision. All models: 200 epochs, identical hyperparameters.</w:t>
      </w:r>
    </w:p>
    <w:p>
      <w:pPr>
        <w:spacing w:after="80" w:before="0" w:line="24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40"/>
        <w:jc w:val="center"/>
      </w:pPr>
      <w:r>
        <w:rPr>
          <w:rFonts w:ascii="Times New Roman" w:cs="Times New Roman" w:eastAsia="Times New Roman" w:hAnsi="Times New Roman"/>
          <w:b/>
          <w:bCs/>
          <w:i w:val="false"/>
          <w:iCs w:val="false"/>
          <w:color w:val="000000"/>
          <w:sz w:val="20"/>
          <w:szCs w:val="20"/>
        </w:rPr>
        <w:t xml:space="preserve">VII. Conclusion</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We have presented MT-CycleGAN, a multi-task cycle-consistent adversarial network for simultaneous bidirectional MRI⇔CT synthesis and multi-organ segmentation. The framework was motivated by four research objectives: enabling bidirectional unpaired translation (RO1), jointly learning segmentation from CT pseudo-labels (RO2), enforcing anatomical consistency as a synthesis regulariser (RO3), and demonstrating scalability across three anatomical regions (RO4). All four objectives are met.</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The anatomy consistency loss — the central technical contribution — converts segmentation supervision into a structured geometric constraint on the generators. This prevents the hallucination of anatomically implausible tissue patterns and stabilises training in the CT→MRI direction, where adversarial training alone is insufficient to enforce correct organ topology.</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Evaluated on SynthRAD2025, MT-CycleGAN outperforms single-task CycleGAN baselines [3, 18] by 5.1 pp SSIM and 6.3 pp mean Dice on HN, and surpasses the most comparable bidirectional method [8] by 1.4 pp SSIM. CT-space MAE falls below the 80 HU clinical threshold for radiotherapy-grade sCT [10] on all three anatomical regions. We release code, pre-trained weights, and split JSONs to support reproducibility.</w:t>
      </w:r>
    </w:p>
    <w:p>
      <w:pPr>
        <w:spacing w:after="80" w:before="0" w:line="240"/>
        <w:jc w:val="both"/>
      </w:pPr>
      <w:r>
        <w:rPr>
          <w:rFonts w:ascii="Times New Roman" w:cs="Times New Roman" w:eastAsia="Times New Roman" w:hAnsi="Times New Roman"/>
          <w:b w:val="false"/>
          <w:bCs w:val="false"/>
          <w:i w:val="false"/>
          <w:iCs w:val="false"/>
          <w:color w:val="000000"/>
          <w:sz w:val="20"/>
          <w:szCs w:val="20"/>
        </w:rPr>
        <w:t xml:space="preserve">Limitations and future directions include: (1) extending to 3D patch-based training for volumetric consistency; (2) soft anatomy consistency via knowledge distillation on the full softmax distribution; (3) confidence-weighting the segmentation loss to down-weight uncertain TotalSegmentator [14] pseudo-labels; and (4) prospective dosimetric validation in a clinical treatment planning system following the protocol of Crespi et al. [11] and Zivkovic et al. [10].</w:t>
      </w:r>
    </w:p>
    <w:p>
      <w:pPr>
        <w:pBdr>
          <w:bottom w:val="single" w:color="1F4E79" w:sz="3" w:space="1"/>
        </w:pBdr>
        <w:spacing w:after="80" w:before="80"/>
      </w:pPr>
      <w:r>
        <w:rPr>
          <w:rFonts w:ascii="Times New Roman" w:cs="Times New Roman" w:eastAsia="Times New Roman" w:hAnsi="Times New Roman"/>
          <w:b w:val="false"/>
          <w:bCs w:val="false"/>
          <w:i w:val="false"/>
          <w:iCs w:val="false"/>
          <w:color w:val="000000"/>
          <w:sz w:val="20"/>
          <w:szCs w:val="20"/>
        </w:rPr>
        <w:t xml:space="preserve"/>
      </w:r>
    </w:p>
    <w:p>
      <w:pPr>
        <w:spacing w:after="80" w:before="140"/>
        <w:jc w:val="center"/>
      </w:pPr>
      <w:r>
        <w:rPr>
          <w:rFonts w:ascii="Times New Roman" w:cs="Times New Roman" w:eastAsia="Times New Roman" w:hAnsi="Times New Roman"/>
          <w:b/>
          <w:bCs/>
          <w:i w:val="false"/>
          <w:iCs w:val="false"/>
          <w:color w:val="000000"/>
          <w:sz w:val="20"/>
          <w:szCs w:val="20"/>
        </w:rPr>
        <w:t xml:space="preserve">References</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[1]  SynthRAD2025 Challenge Organisers, "SynthRAD2025: Bidirectional MRI-CT Synthesis — Task 1," MICCAI 2025.</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[2]  A. Largent et al., "SynthRAD2023 Grand Challenge Dataset: Using Synthetic CT for Radiation Planning," Med. Phys., 2023.</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[3]  J.-Y. Zhu, T. Park, P. Isola, A. A. Efros, "Unpaired Image-to-Image Translation Using Cycle-Consistent Adversarial Networks," in ICCV, 2017, pp. 2223–2232.</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[4]  Y. Hiasa et al., "Cross-Modality Image Synthesis from Unpaired Data Using CycleGAN — Effects of Gradient Consistency Loss and Training Data Size," in SASHIMI (MICCAI Workshop), 2018, pp. 195–204.</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[5]  H. Yang et al., "Unpaired Brain MR-to-CT Synthesis Using a Structure-Constrained CycleGAN," in DLMIA/ML-CDS (MICCAI Workshop), 2018.</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[6]  H. Yang et al., "Unsupervised MR-to-CT Synthesis Using Structure-Constrained CycleGAN," IEEE Trans. Med. Imaging, vol. 39, no. 12, pp. 4042–4052, 2020.</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[7]  Y. Liu et al., "CT Synthesis from MRI Using Multi-Cycle GAN for Head-and-Neck Radiation Therapy," Comput. Med. Imaging Graph., vol. 91, p. 101953, 2021.</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[8]  K. Afnaan et al., "Bidirectional MRI-CT Synthesis for Enhanced Medical Imaging," in Proc. IEEE EMBC, 2024.</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[9]  Y. Li et al., "Attention-Guided Generative Adversarial Network for Synthesising CT from MRI," IEEE Trans. Med. Imaging, vol. 40, no. 10, pp. 2861–2874, 2020.</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[10] M. Zivkovic et al., "Dosimetric Validation of AI-Synthesised CT for MRI-Only Radiotherapy Planning," Phys. Med. Biol., 2025.</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[11] L. Crespi et al., "Multimodal CycleGAN for MRI-CT Synthesis with Physician-Centred Evaluation," Radiat. Oncol., vol. 19, 2024.</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[12] S. Nikbakhsh et al., "CT-to-MRI Synthesis Using a Feature Extraction CycleGAN: Implications for Bidirectional Translation," Med. Phys., 2023.</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[13] F. Isensee et al., "nnU-Net: A Self-Configuring Method for Deep Learning-Based Biomedical Image Segmentation," Nat. Methods, vol. 18, no. 2, pp. 203–211, 2021.</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[14] J. Wasserthal et al., "TotalSegmentator: Robust Segmentation of 104 Anatomical Structures in CT Images," Radiol. Artif. Intell., vol. 5, no. 5, 2023.</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[15] O. Ronneberger, P. Fischer, T. Brox, "U-Net: Convolutional Networks for Biomedical Image Segmentation," in MICCAI, 2015, pp. 234–241.</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[16] K. He et al., "Deep Residual Learning for Image Recognition," in CVPR, 2016, pp. 770–778.</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[17] X. Mao et al., "Least Squares Generative Adversarial Networks," in ICCV, 2017, pp. 2794–2802.</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[18] J. M. Wolterink et al., "Deep MR to CT Synthesis Using Unpaired Data," in SASHIMI (MICCAI Workshop), 2017, pp. 14–23.</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[19] I. J. Goodfellow et al., "Generative Adversarial Nets," in NeurIPS, 2014.</w:t>
      </w:r>
    </w:p>
    <w:p>
      <w:pPr>
        <w:spacing w:after="40" w:before="0"/>
        <w:ind w:left="400" w:hanging="400"/>
        <w:jc w:val="left"/>
      </w:pPr>
      <w:r>
        <w:rPr>
          <w:rFonts w:ascii="Times New Roman" w:cs="Times New Roman" w:eastAsia="Times New Roman" w:hAnsi="Times New Roman"/>
          <w:b w:val="false"/>
          <w:bCs w:val="false"/>
          <w:i w:val="false"/>
          <w:iCs w:val="false"/>
          <w:color w:val="000000"/>
          <w:sz w:val="16"/>
          <w:szCs w:val="16"/>
        </w:rPr>
        <w:t xml:space="preserve">[20] J. Hoffman et al., "CyCADA: Cycle-Consistent Adversarial Domain Adaptation," in ICML, 2018.</w:t>
      </w:r>
    </w:p>
    <w:p>
      <w:pPr>
        <w:spacing w:after="140" w:before="0" w:line="240"/>
        <w:jc w:val="left"/>
      </w:pPr>
      <w:r>
        <w:rPr>
          <w:rFonts w:ascii="Times New Roman" w:cs="Times New Roman" w:eastAsia="Times New Roman" w:hAnsi="Times New Roman"/>
          <w:b w:val="false"/>
          <w:bCs w:val="false"/>
          <w:i w:val="false"/>
          <w:iCs w:val="false"/>
          <w:color w:val="000000"/>
          <w:sz w:val="20"/>
          <w:szCs w:val="20"/>
        </w:rPr>
        <w:t xml:space="preserve"/>
      </w:r>
    </w:p>
    <w:sectPr>
      <w:footerReference w:type="default" r:id="rId7"/>
      <w:type w:val="continuous"/>
      <w:pgSz w:w="12240" w:h="15840" w:orient="portrait"/>
      <w:pgMar w:top="50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iCs/>
        <w:color w:val="000000"/>
        <w:sz w:val="14"/>
        <w:szCs w:val="14"/>
      </w:rPr>
      <w:t xml:space="preserve">978-X-XXXX-XXXX-X/25  © 2025 IEEE</w:t>
    </w:r>
    <w:r>
      <w:rPr>
        <w:rFonts w:ascii="Times New Roman" w:cs="Times New Roman" w:eastAsia="Times New Roman" w:hAnsi="Times New Roman"/>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2026-05-10T22:52:03.784Z</dcterms:created>
  <dcterms:modified xsi:type="dcterms:W3CDTF">2026-05-10T22:52:03.786Z</dcterms:modified>
</cp:coreProperties>
</file>

<file path=docProps/custom.xml><?xml version="1.0" encoding="utf-8"?>
<Properties xmlns="http://schemas.openxmlformats.org/officeDocument/2006/custom-properties" xmlns:vt="http://schemas.openxmlformats.org/officeDocument/2006/docPropsVTypes"/>
</file>