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/>
          <w:b/>
          <w:sz w:val="36"/>
          <w:color w:val="1F4D78"/>
        </w:rPr>
        <w:t>AP 宏观经济学互动 Lab 规划简表</w:t>
      </w:r>
    </w:p>
    <w:p>
      <w:pPr>
        <w:spacing w:before="0" w:after="200" w:line="264" w:lineRule="auto"/>
      </w:pPr>
      <w:r>
        <w:rPr>
          <w:rFonts w:ascii="Calibri" w:hAnsi="Calibri"/>
          <w:b w:val="0"/>
          <w:sz w:val="20"/>
          <w:color w:val="4A5568"/>
        </w:rPr>
        <w:t>给经济老师确认课程大方向使用：只列每个单元拟设计的 Lab，不展开细小知识点。</w:t>
      </w:r>
    </w:p>
    <w:p>
      <w:pPr>
        <w:spacing w:before="0" w:after="200" w:line="264" w:lineRule="auto"/>
      </w:pPr>
      <w:r>
        <w:rPr>
          <w:rFonts w:ascii="Calibri" w:hAnsi="Calibri"/>
          <w:b/>
          <w:sz w:val="22"/>
          <w:color w:val="000000"/>
        </w:rPr>
        <w:t>请老师主要确认：单元顺序是否合理、Lab 主题是否覆盖核心模型、是否需要合并/删除/增加重点。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3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1F4D78"/>
              </w:rPr>
              <w:t>Unit</w:t>
            </w:r>
          </w:p>
        </w:tc>
        <w:tc>
          <w:tcPr>
            <w:tcW w:type="dxa" w:w="367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1F4D78"/>
              </w:rPr>
              <w:t>主题</w:t>
            </w:r>
          </w:p>
        </w:tc>
        <w:tc>
          <w:tcPr>
            <w:tcW w:type="dxa" w:w="93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1F4D78"/>
              </w:rPr>
              <w:t>权重</w:t>
            </w:r>
          </w:p>
        </w:tc>
        <w:tc>
          <w:tcPr>
            <w:tcW w:type="dxa" w:w="443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1F4D78"/>
              </w:rPr>
              <w:t>拟设计 Labs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1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Basic Economic Concepts / 基础经济概念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5%-10%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Scarcity and Choice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PPC and Opportunity Cost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Comparative Advantage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Economic Systems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2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Economic Indicators and the Business Cycle / 宏观指标与商业周期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12%-17%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Measuring Output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Measuring Prices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Labor Market Indicators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Business Cycle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3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National Income and Price Determination / 国民收入与价格决定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17%-27%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AD Components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AD-AS Equilibrium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Output Gaps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Fiscal Policy Simulator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Multiplier Lab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4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Financial Sector / 金融部门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18%-23%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Bank Balance Sheet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Money Multiplier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Money Market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Loanable Funds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Monetary Policy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5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Long-Run Consequences of Stabilization Policies / 稳定政策的长期影响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20%-30%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Phillips Curve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Expectations Adjustment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Economic Growth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Deficits and Crowding Out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Money Growth and Inflation</w:t>
            </w:r>
          </w:p>
        </w:tc>
      </w:tr>
      <w:tr>
        <w:tc>
          <w:tcPr>
            <w:tcW w:type="dxa" w:w="10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sz w:val="20"/>
                <w:color w:val="000000"/>
              </w:rPr>
              <w:t>Unit 6</w:t>
            </w:r>
          </w:p>
        </w:tc>
        <w:tc>
          <w:tcPr>
            <w:tcW w:type="dxa" w:w="367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Open Economy: International Trade and Finance / 开放经济</w:t>
            </w:r>
          </w:p>
        </w:tc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10%-13%</w:t>
            </w:r>
          </w:p>
        </w:tc>
        <w:tc>
          <w:tcPr>
            <w:tcW w:type="dxa" w:w="443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Bullet"/>
              <w:spacing w:before="0" w:after="20" w:line="252" w:lineRule="auto"/>
            </w:pPr>
            <w:r/>
            <w:r>
              <w:rPr>
                <w:rFonts w:ascii="Calibri" w:hAnsi="Calibri"/>
                <w:b w:val="0"/>
                <w:sz w:val="20"/>
                <w:color w:val="000000"/>
              </w:rPr>
              <w:t>Balance of Payments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Foreign Exchange Market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Capital Flows</w:t>
            </w:r>
          </w:p>
          <w:p>
            <w:pPr>
              <w:pStyle w:val="ListBullet"/>
              <w:spacing w:before="0" w:after="20" w:line="252" w:lineRule="auto"/>
            </w:pPr>
            <w:r>
              <w:rPr>
                <w:rFonts w:ascii="Calibri" w:hAnsi="Calibri"/>
                <w:b w:val="0"/>
                <w:sz w:val="20"/>
                <w:color w:val="000000"/>
              </w:rPr>
              <w:t>Policy in an Open Economy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sz w:val="18"/>
        <w:color w:val="718096"/>
      </w:rPr>
      <w:t>RAIC AP Macroeconomics prototype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