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architecture review</w:t>
      </w:r>
    </w:p>
    <w:p>
      <w:r>
        <w:t>AegisAI separates authentication from authorization. Authentication creates a local user and session; authorization evaluates database-backed local roles and permissions for each protected request.</w:t>
      </w:r>
    </w:p>
    <w:p>
      <w:r>
        <w:t>Qdrant is a derived-vector candidate store, not the authority for document access. Retrieval reloads candidates from PostgreSQL and discards stale, deleted, or mismatched results before they reach a user or a RAG prompt.</w:t>
      </w:r>
    </w:p>
    <w:p>
      <w:r>
        <w:t>The next access-control phase will apply document-specific grants to retrieval and chat. Revoking a grant must affect future results without waiting for an embedding collection rebuild.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