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impact assessment</w:t>
      </w:r>
    </w:p>
    <w:p>
      <w:r>
        <w:t>Knowledge-base documents may contain business information, so collection must have a defined purpose, authorized audience, and retention period. Avoid uploading personal data unless the documented use case and safeguards require it.</w:t>
      </w:r>
    </w:p>
    <w:p>
      <w:r>
        <w:t>Current RAG chat is stateless. Client-supplied history is bounded, marked untrusted, and is not saved as an AegisAI conversation transcript. It cannot serve as evidence for a cited answer.</w:t>
      </w:r>
    </w:p>
    <w:p>
      <w:r>
        <w:t>Future multi-tenancy and document-level access policies must isolate organizations across documents, vectors, retrieval, chat citations, and administrative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