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Disaster recovery plan</w:t>
      </w:r>
    </w:p>
    <w:p>
      <w:r>
        <w:t>Recover authoritative PostgreSQL metadata and access state before restoring dependent services. Then restore original document storage, Redis connectivity, worker processing, and Qdrant availability.</w:t>
      </w:r>
    </w:p>
    <w:p>
      <w:r>
        <w:t>Derived vectors can be rebuilt from current extracted chunks through the controlled embedding indexing workflow. Never mark a document indexed without traceable PostgreSQL embedding records and validated Qdrant writes.</w:t>
      </w:r>
    </w:p>
    <w:p>
      <w:r>
        <w:t>Perform a recovery exercise at least twice a year. Capture recovery time, data integrity checks, unresolved gaps, and remediation owners.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