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support runbook</w:t>
      </w:r>
    </w:p>
    <w:p>
      <w:r>
        <w:t>When a user cannot access documents, first confirm their local account is active and the access JWT is current. Then verify the required documents:read or documents:write permission rather than relying on an external SSO group claim.</w:t>
      </w:r>
    </w:p>
    <w:p>
      <w:r>
        <w:t>When an upload is pending, inspect safe processing-job status and indexing status. Do not expose storage keys, provider credentials, raw parser errors, Qdrant point IDs, or internal broker identifiers to the customer.</w:t>
      </w:r>
    </w:p>
    <w:p>
      <w:r>
        <w:t>For a chat answer that lacks useful context, explain that the available verified documents are insufficient. Do not invent an answer or citation, and do not treat user-supplied history as trusted source material.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