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both"/>
      </w:pPr>
      <w:r>
        <w:rPr>
          <w:rFonts w:ascii="Arial" w:cs="Arial" w:eastAsia="Arial" w:hAnsi="Arial"/>
          <w:color w:val="6B7280"/>
          <w:sz w:val="18"/>
          <w:szCs w:val="18"/>
        </w:rPr>
        <w:t xml:space="preserve">MGMT 590  ·  Track 2: LLM Evaluation  ·  Purdue University, Spring 2026</w:t>
      </w:r>
    </w:p>
    <w:p>
      <w:pPr>
        <w:spacing w:after="40" w:before="0"/>
      </w:pPr>
      <w:r>
        <w:rPr>
          <w:rFonts w:ascii="Arial" w:cs="Arial" w:eastAsia="Arial" w:hAnsi="Arial"/>
          <w:b/>
          <w:bCs/>
          <w:color w:val="1A4FA0"/>
          <w:sz w:val="56"/>
          <w:szCs w:val="56"/>
        </w:rPr>
        <w:t xml:space="preserve">Beyond Sampling Noise</w:t>
      </w:r>
    </w:p>
    <w:p>
      <w:pPr>
        <w:pBdr>
          <w:bottom w:val="single" w:color="1A4FA0" w:sz="10" w:space="3"/>
        </w:pBdr>
        <w:spacing w:after="40" w:before="0"/>
      </w:pPr>
      <w:r>
        <w:rPr>
          <w:rFonts w:ascii="Arial" w:cs="Arial" w:eastAsia="Arial" w:hAnsi="Arial"/>
          <w:color w:val="111827"/>
          <w:sz w:val="30"/>
          <w:szCs w:val="30"/>
        </w:rPr>
        <w:t xml:space="preserve">A Hierarchical Uncertainty Correction for LLM Leaderboard Rankings</w:t>
      </w:r>
    </w:p>
    <w:p>
      <w:pPr>
        <w:spacing w:after="0" w:before="120"/>
        <w:jc w:val="both"/>
      </w:pPr>
      <w:r>
        <w:rPr>
          <w:rFonts w:ascii="Arial" w:cs="Arial" w:eastAsia="Arial" w:hAnsi="Arial"/>
          <w:color w:val="111827"/>
          <w:sz w:val="22"/>
          <w:szCs w:val="22"/>
        </w:rPr>
        <w:t xml:space="preserve"/>
      </w:r>
    </w:p>
    <w:p>
      <w:pPr>
        <w:spacing w:after="20" w:before="100"/>
        <w:jc w:val="both"/>
      </w:pPr>
      <w:r>
        <w:rPr>
          <w:rFonts w:ascii="Arial" w:cs="Arial" w:eastAsia="Arial" w:hAnsi="Arial"/>
          <w:color w:val="6B7280"/>
          <w:sz w:val="21"/>
          <w:szCs w:val="21"/>
        </w:rPr>
        <w:t xml:space="preserve">Project type: </w:t>
      </w:r>
      <w:r>
        <w:rPr>
          <w:rFonts w:ascii="Arial" w:cs="Arial" w:eastAsia="Arial" w:hAnsi="Arial"/>
          <w:b/>
          <w:bCs/>
          <w:color w:val="111827"/>
          <w:sz w:val="21"/>
          <w:szCs w:val="21"/>
        </w:rPr>
        <w:t xml:space="preserve">Research Proposal  </w:t>
      </w:r>
      <w:r>
        <w:rPr>
          <w:rFonts w:ascii="Arial" w:cs="Arial" w:eastAsia="Arial" w:hAnsi="Arial"/>
          <w:color w:val="6B7280"/>
          <w:sz w:val="21"/>
          <w:szCs w:val="21"/>
        </w:rPr>
        <w:t xml:space="preserve">   Report due: </w:t>
      </w:r>
      <w:r>
        <w:rPr>
          <w:rFonts w:ascii="Arial" w:cs="Arial" w:eastAsia="Arial" w:hAnsi="Arial"/>
          <w:b/>
          <w:bCs/>
          <w:color w:val="111827"/>
          <w:sz w:val="21"/>
          <w:szCs w:val="21"/>
        </w:rPr>
        <w:t xml:space="preserve">May 1, 2026  </w:t>
      </w:r>
      <w:r>
        <w:rPr>
          <w:rFonts w:ascii="Arial" w:cs="Arial" w:eastAsia="Arial" w:hAnsi="Arial"/>
          <w:color w:val="6B7280"/>
          <w:sz w:val="21"/>
          <w:szCs w:val="21"/>
        </w:rPr>
        <w:t xml:space="preserve">   Presentation: </w:t>
      </w:r>
      <w:r>
        <w:rPr>
          <w:rFonts w:ascii="Arial" w:cs="Arial" w:eastAsia="Arial" w:hAnsi="Arial"/>
          <w:b/>
          <w:bCs/>
          <w:color w:val="111827"/>
          <w:sz w:val="21"/>
          <w:szCs w:val="21"/>
        </w:rPr>
        <w:t xml:space="preserve">April 27 or 29</w:t>
      </w:r>
    </w:p>
    <w:p>
      <w:pPr>
        <w:spacing w:after="0" w:before="200"/>
        <w:jc w:val="both"/>
      </w:pPr>
      <w:r>
        <w:rPr>
          <w:rFonts w:ascii="Arial" w:cs="Arial" w:eastAsia="Arial" w:hAnsi="Arial"/>
          <w:color w:val="111827"/>
          <w:sz w:val="22"/>
          <w:szCs w:val="22"/>
        </w:rPr>
        <w:t xml:space="preserve"/>
      </w:r>
    </w:p>
    <w:p>
      <w:pPr>
        <w:pBdr>
          <w:bottom w:val="single" w:color="1A4FA0" w:sz="8" w:space="2"/>
        </w:pBdr>
        <w:spacing w:after="60" w:before="360"/>
      </w:pPr>
      <w:r>
        <w:rPr>
          <w:rFonts w:ascii="Arial" w:cs="Arial" w:eastAsia="Arial" w:hAnsi="Arial"/>
          <w:b/>
          <w:bCs/>
          <w:color w:val="1A4FA0"/>
          <w:sz w:val="30"/>
          <w:szCs w:val="30"/>
        </w:rPr>
        <w:t>01  THE ONE PROBLEM THIS PAPER SOLVES</w:t>
      </w:r>
    </w:p>
    <w:p>
      <w:pPr>
        <w:spacing w:after="0" w:before="60"/>
        <w:jc w:val="both"/>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A0" w:sz="12"/>
              <w:left w:val="none" w:color="FFFFFF" w:sz="0"/>
              <w:bottom w:val="single" w:color="D1D5DB" w:sz="1"/>
              <w:right w:val="none" w:color="FFFFFF" w:sz="0"/>
            </w:tcBorders>
            <w:shd w:fill="E8EFF9" w:val="clear"/>
            <w:tcMar>
              <w:top w:type="dxa" w:w="200"/>
              <w:left w:type="dxa" w:w="280"/>
              <w:bottom w:type="dxa" w:w="200"/>
              <w:right w:type="dxa" w:w="200"/>
            </w:tcMar>
          </w:tcPr>
          <w:p>
            <w:pPr>
              <w:jc w:val="left"/>
            </w:pPr>
            <w:r>
              <w:rPr>
                <w:rFonts w:ascii="Arial" w:cs="Arial" w:eastAsia="Arial" w:hAnsi="Arial"/>
                <w:i/>
                <w:iCs/>
                <w:color w:val="1A4FA0"/>
                <w:sz w:val="23"/>
                <w:szCs w:val="23"/>
              </w:rPr>
              <w:t xml:space="preserve">"Arena-style leaderboards assume every pairwise battle outcome is a noiseless signal of true model quality. It is not. Judge noise has its own variance — and standard BTL confidence intervals ignore it entirely. This makes rankings look far more certain than they are."</w:t>
            </w:r>
          </w:p>
        </w:tc>
      </w:tr>
    </w:tbl>
    <w:p>
      <w:pPr>
        <w:spacing w:after="0" w:before="120"/>
        <w:jc w:val="both"/>
      </w:pPr>
      <w:r>
        <w:rPr>
          <w:rFonts w:ascii="Arial" w:cs="Arial" w:eastAsia="Arial" w:hAnsi="Arial"/>
          <w:color w:val="111827"/>
          <w:sz w:val="22"/>
          <w:szCs w:val="22"/>
        </w:rPr>
        <w:t xml:space="preserve"/>
      </w:r>
    </w:p>
    <w:p>
      <w:pPr>
        <w:spacing w:after="60" w:before="60"/>
        <w:jc w:val="both"/>
      </w:pPr>
      <w:r>
        <w:rPr>
          <w:rFonts w:ascii="Arial" w:cs="Arial" w:eastAsia="Arial" w:hAnsi="Arial"/>
          <w:color w:val="111827"/>
          <w:sz w:val="22"/>
          <w:szCs w:val="22"/>
        </w:rPr>
        <w:t xml:space="preserve">Chatbot Arena (Arena.ai) ranks LLMs by fitting a Bradley-Terry-Luce (BTL) model to thousands of human pairwise preference battles. Confidence intervals are reported around each model's score. These CIs are computed under one assumption: that each battle outcome is a clean, unbiased observation of which model is truly better. That assumption is false.</w:t>
      </w:r>
    </w:p>
    <w:p>
      <w:pPr>
        <w:spacing w:after="60" w:before="60"/>
        <w:jc w:val="both"/>
      </w:pPr>
      <w:r>
        <w:rPr>
          <w:rFonts w:ascii="Arial" w:cs="Arial" w:eastAsia="Arial" w:hAnsi="Arial"/>
          <w:color w:val="111827"/>
          <w:sz w:val="22"/>
          <w:szCs w:val="22"/>
        </w:rPr>
        <w:t xml:space="preserve">A human annotator judging GPT-4o vs Claude does not perfectly observe true quality. They make a noisy, context-dependent call — shaped by position bias, verbosity preference, mood, and domain familiarity. That noise has its own statistical variance. Standard BTL treats preference labels as ground truth and folds all uncertainty into sampling variance alone. The result: confidence intervals are systematically too narrow. Gaps between top models that appear statistically significant are often not.</w:t>
      </w:r>
    </w:p>
    <w:p>
      <w:pPr>
        <w:spacing w:after="0" w:before="80"/>
        <w:jc w:val="both"/>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1A4FA0"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WHY IT MATTERS</w:t>
            </w:r>
          </w:p>
        </w:tc>
        <w:tc>
          <w:tcPr>
            <w:tcW w:type="dxa" w:w="7760"/>
            <w:tcBorders>
              <w:top w:val="single" w:color="D1D5DB" w:sz="1"/>
              <w:left w:val="single" w:color="D1D5DB" w:sz="1"/>
              <w:bottom w:val="single" w:color="D1D5DB" w:sz="1"/>
              <w:right w:val="single" w:color="D1D5DB" w:sz="1"/>
            </w:tcBorders>
            <w:shd w:fill="E8EFF9" w:val="clear"/>
            <w:tcMar>
              <w:top w:type="dxa" w:w="120"/>
              <w:left w:type="dxa" w:w="200"/>
              <w:bottom w:type="dxa" w:w="120"/>
              <w:right w:type="dxa" w:w="160"/>
            </w:tcMar>
          </w:tcPr>
          <w:p>
            <w:pPr>
              <w:jc w:val="both"/>
            </w:pPr>
            <w:r>
              <w:rPr>
                <w:rFonts w:ascii="Arial" w:cs="Arial" w:eastAsia="Arial" w:hAnsi="Arial"/>
                <w:color w:val="111827"/>
                <w:sz w:val="21"/>
                <w:szCs w:val="21"/>
              </w:rPr>
              <w:t xml:space="preserve">When GPT-4o and Claude-3.5-Sonnet are separated by 2 Elo points on Arena, enterprises use that gap to make procurement decisions worth millions of dollars. If the CI is overconfident, that gap is noise — and no one knows it.</w:t>
            </w:r>
          </w:p>
        </w:tc>
      </w:tr>
    </w:tbl>
    <w:p>
      <w:pPr>
        <w:spacing w:after="0" w:before="160"/>
        <w:jc w:val="both"/>
      </w:pPr>
      <w:r>
        <w:rPr>
          <w:rFonts w:ascii="Arial" w:cs="Arial" w:eastAsia="Arial" w:hAnsi="Arial"/>
          <w:color w:val="111827"/>
          <w:sz w:val="22"/>
          <w:szCs w:val="22"/>
        </w:rPr>
        <w:t xml:space="preserve"/>
      </w:r>
    </w:p>
    <w:p>
      <w:pPr>
        <w:pBdr>
          <w:bottom w:val="single" w:color="1A4FA0" w:sz="8" w:space="2"/>
        </w:pBdr>
        <w:spacing w:after="60" w:before="360"/>
      </w:pPr>
      <w:r>
        <w:rPr>
          <w:rFonts w:ascii="Arial" w:cs="Arial" w:eastAsia="Arial" w:hAnsi="Arial"/>
          <w:b/>
          <w:bCs/>
          <w:color w:val="1A4FA0"/>
          <w:sz w:val="30"/>
          <w:szCs w:val="30"/>
        </w:rPr>
        <w:t>02  THE RESEARCH QUESTION — EXACTLY ONE</w:t>
      </w:r>
    </w:p>
    <w:p>
      <w:pPr>
        <w:spacing w:after="0" w:before="60"/>
        <w:jc w:val="both"/>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A0" w:sz="12"/>
              <w:left w:val="none" w:color="FFFFFF" w:sz="0"/>
              <w:bottom w:val="single" w:color="D1D5DB" w:sz="1"/>
              <w:right w:val="none" w:color="FFFFFF" w:sz="0"/>
            </w:tcBorders>
            <w:shd w:fill="E8EFF9" w:val="clear"/>
            <w:tcMar>
              <w:top w:type="dxa" w:w="200"/>
              <w:left w:type="dxa" w:w="280"/>
              <w:bottom w:type="dxa" w:w="200"/>
              <w:right w:type="dxa" w:w="200"/>
            </w:tcMar>
          </w:tcPr>
          <w:p>
            <w:pPr>
              <w:jc w:val="left"/>
            </w:pPr>
            <w:r>
              <w:rPr>
                <w:rFonts w:ascii="Arial" w:cs="Arial" w:eastAsia="Arial" w:hAnsi="Arial"/>
                <w:i/>
                <w:iCs/>
                <w:color w:val="1A4FA0"/>
                <w:sz w:val="23"/>
                <w:szCs w:val="23"/>
              </w:rPr>
              <w:t xml:space="preserve">"Standard BTL confidence intervals for LLM leaderboard rankings systematically undercover because they treat judge preferences as noiseless ground truth. We propose a hierarchical correction that decomposes total ranking uncertainty into sampling variance and judge variance — and show that the judge variance term cannot be reduced by collecting more battles."</w:t>
            </w:r>
          </w:p>
        </w:tc>
      </w:tr>
    </w:tbl>
    <w:p>
      <w:pPr>
        <w:spacing w:after="0" w:before="100"/>
        <w:jc w:val="both"/>
      </w:pPr>
      <w:r>
        <w:rPr>
          <w:rFonts w:ascii="Arial" w:cs="Arial" w:eastAsia="Arial" w:hAnsi="Arial"/>
          <w:color w:val="111827"/>
          <w:sz w:val="22"/>
          <w:szCs w:val="22"/>
        </w:rPr>
        <w:t xml:space="preserve"/>
      </w:r>
    </w:p>
    <w:p>
      <w:pPr>
        <w:spacing w:after="60" w:before="60"/>
        <w:jc w:val="both"/>
      </w:pPr>
      <w:r>
        <w:rPr>
          <w:rFonts w:ascii="Arial" w:cs="Arial" w:eastAsia="Arial" w:hAnsi="Arial"/>
          <w:color w:val="111827"/>
          <w:sz w:val="22"/>
          <w:szCs w:val="22"/>
        </w:rPr>
        <w:t xml:space="preserve">That last clause is the punchline — and it is what makes this non-obvious. Arena can run 10 million battles and still have overconfident rankings if judge noise is high. More data does not fix a misspecified model. This paper identifies the misspecification, quantifies it, and corrects it.</w:t>
      </w:r>
    </w:p>
    <w:p>
      <w:pPr>
        <w:spacing w:after="0" w:before="160"/>
        <w:jc w:val="both"/>
      </w:pPr>
      <w:r>
        <w:rPr>
          <w:rFonts w:ascii="Arial" w:cs="Arial" w:eastAsia="Arial" w:hAnsi="Arial"/>
          <w:color w:val="111827"/>
          <w:sz w:val="22"/>
          <w:szCs w:val="22"/>
        </w:rPr>
        <w:t xml:space="preserve"/>
      </w:r>
    </w:p>
    <w:p>
      <w:pPr>
        <w:pBdr>
          <w:bottom w:val="single" w:color="1A4FA0" w:sz="8" w:space="2"/>
        </w:pBdr>
        <w:spacing w:after="60" w:before="360"/>
      </w:pPr>
      <w:r>
        <w:rPr>
          <w:rFonts w:ascii="Arial" w:cs="Arial" w:eastAsia="Arial" w:hAnsi="Arial"/>
          <w:b/>
          <w:bCs/>
          <w:color w:val="1A4FA0"/>
          <w:sz w:val="30"/>
          <w:szCs w:val="30"/>
        </w:rPr>
        <w:t>03  METHODOLOGY — STEP BY STEP</w:t>
      </w:r>
    </w:p>
    <w:p>
      <w:pPr>
        <w:spacing w:after="0" w:before="60"/>
        <w:jc w:val="both"/>
      </w:pPr>
      <w:r>
        <w:rPr>
          <w:rFonts w:ascii="Arial" w:cs="Arial" w:eastAsia="Arial" w:hAnsi="Arial"/>
          <w:color w:val="111827"/>
          <w:sz w:val="22"/>
          <w:szCs w:val="22"/>
        </w:rPr>
        <w:t xml:space="preserve"/>
      </w:r>
    </w:p>
    <w:p>
      <w:pPr>
        <w:spacing w:after="60" w:before="220"/>
      </w:pPr>
      <w:r>
        <w:rPr>
          <w:rFonts w:ascii="Arial" w:cs="Arial" w:eastAsia="Arial" w:hAnsi="Arial"/>
          <w:b/>
          <w:bCs/>
          <w:color w:val="0F766E"/>
          <w:sz w:val="24"/>
          <w:szCs w:val="24"/>
        </w:rPr>
        <w:t xml:space="preserve">Step 1 — The standard BTL model (what Arena does today)</w:t>
      </w:r>
    </w:p>
    <w:p>
      <w:pPr>
        <w:spacing w:after="60" w:before="60"/>
        <w:jc w:val="both"/>
      </w:pPr>
      <w:r>
        <w:rPr>
          <w:rFonts w:ascii="Arial" w:cs="Arial" w:eastAsia="Arial" w:hAnsi="Arial"/>
          <w:color w:val="111827"/>
          <w:sz w:val="22"/>
          <w:szCs w:val="22"/>
        </w:rPr>
        <w:t xml:space="preserve">The BTL model assigns each model i a latent skill score s_i. Given a battle between model i and j, the probability that i wins is: P(i beats j) = σ(s_i − s_j), where σ is the logistic sigmoid. Scores are estimated via MLE and confidence intervals are computed using bootstrap or the CLT. This is exactly the model covered in Lecture 10 — we build directly on that foundation.</w:t>
      </w:r>
    </w:p>
    <w:p>
      <w:pPr>
        <w:spacing w:after="0" w:before="60"/>
        <w:jc w:val="both"/>
      </w:pPr>
      <w:r>
        <w:rPr>
          <w:rFonts w:ascii="Arial" w:cs="Arial" w:eastAsia="Arial" w:hAnsi="Arial"/>
          <w:color w:val="111827"/>
          <w:sz w:val="22"/>
          <w:szCs w:val="22"/>
        </w:rPr>
        <w:t xml:space="preserve"/>
      </w:r>
    </w:p>
    <w:p>
      <w:pPr>
        <w:spacing w:after="60" w:before="220"/>
      </w:pPr>
      <w:r>
        <w:rPr>
          <w:rFonts w:ascii="Arial" w:cs="Arial" w:eastAsia="Arial" w:hAnsi="Arial"/>
          <w:b/>
          <w:bCs/>
          <w:color w:val="0F766E"/>
          <w:sz w:val="24"/>
          <w:szCs w:val="24"/>
        </w:rPr>
        <w:t xml:space="preserve">Step 2 — The misspecification (what standard BTL gets wrong)</w:t>
      </w:r>
    </w:p>
    <w:p>
      <w:pPr>
        <w:spacing w:after="60" w:before="60"/>
        <w:jc w:val="both"/>
      </w:pPr>
      <w:r>
        <w:rPr>
          <w:rFonts w:ascii="Arial" w:cs="Arial" w:eastAsia="Arial" w:hAnsi="Arial"/>
          <w:color w:val="111827"/>
          <w:sz w:val="22"/>
          <w:szCs w:val="22"/>
        </w:rPr>
        <w:t xml:space="preserve">Standard BTL assumes: P(i beats j | x) = σ(s_i − s_j). This treats each battle outcome as a deterministic function of true scores. In reality, a judge's preference is: P(i beats j | x, judge) = σ(s_i − s_j + ε), where ε ~ N(0, σ²_judge) is judge-specific noise. Ignoring ε means the model is misspecified. The estimated CIs are too narrow by a factor proportional to σ²_judge.</w:t>
      </w:r>
    </w:p>
    <w:p>
      <w:pPr>
        <w:spacing w:after="0" w:before="60"/>
        <w:jc w:val="both"/>
      </w:pPr>
      <w:r>
        <w:rPr>
          <w:rFonts w:ascii="Arial" w:cs="Arial" w:eastAsia="Arial" w:hAnsi="Arial"/>
          <w:color w:val="111827"/>
          <w:sz w:val="22"/>
          <w:szCs w:val="22"/>
        </w:rPr>
        <w:t xml:space="preserve"/>
      </w:r>
    </w:p>
    <w:p>
      <w:pPr>
        <w:spacing w:after="60" w:before="220"/>
      </w:pPr>
      <w:r>
        <w:rPr>
          <w:rFonts w:ascii="Arial" w:cs="Arial" w:eastAsia="Arial" w:hAnsi="Arial"/>
          <w:b/>
          <w:bCs/>
          <w:color w:val="0F766E"/>
          <w:sz w:val="24"/>
          <w:szCs w:val="24"/>
        </w:rPr>
        <w:t xml:space="preserve">Step 3 — The hierarchical correction (our contribution)</w:t>
      </w:r>
    </w:p>
    <w:p>
      <w:pPr>
        <w:spacing w:after="60" w:before="60"/>
        <w:jc w:val="both"/>
      </w:pPr>
      <w:r>
        <w:rPr>
          <w:rFonts w:ascii="Arial" w:cs="Arial" w:eastAsia="Arial" w:hAnsi="Arial"/>
          <w:color w:val="111827"/>
          <w:sz w:val="22"/>
          <w:szCs w:val="22"/>
        </w:rPr>
        <w:t xml:space="preserve">We extend BTL with an explicit judge noise layer. The generative model becomes two-level: (1) the true score difference s_i − s_j is the signal; (2) each judge observes this signal plus noise ε ~ N(0, σ²_judge). Marginalizing over judge noise yields a corrected likelihood with an additional variance term. We estimate σ²_judge from within-pair battle inconsistency — when two judges see the same model pair and disagree, that disagreement quantifies judge noise directly.</w:t>
      </w:r>
    </w:p>
    <w:p>
      <w:pPr>
        <w:spacing w:after="0" w:before="60"/>
        <w:jc w:val="both"/>
      </w:pPr>
      <w:r>
        <w:rPr>
          <w:rFonts w:ascii="Arial" w:cs="Arial" w:eastAsia="Arial" w:hAnsi="Arial"/>
          <w:color w:val="111827"/>
          <w:sz w:val="22"/>
          <w:szCs w:val="22"/>
        </w:rPr>
        <w:t xml:space="preserve"/>
      </w:r>
    </w:p>
    <w:p>
      <w:pPr>
        <w:spacing w:after="60" w:before="220"/>
      </w:pPr>
      <w:r>
        <w:rPr>
          <w:rFonts w:ascii="Arial" w:cs="Arial" w:eastAsia="Arial" w:hAnsi="Arial"/>
          <w:b/>
          <w:bCs/>
          <w:color w:val="0F766E"/>
          <w:sz w:val="24"/>
          <w:szCs w:val="24"/>
        </w:rPr>
        <w:t xml:space="preserve">Step 4 — Variance decomposition (the key analytical result)</w:t>
      </w:r>
    </w:p>
    <w:p>
      <w:pPr>
        <w:spacing w:after="0" w:before="40"/>
        <w:jc w:val="both"/>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shd w:fill="E8EFF9" w:val="clear"/>
            <w:tcMar>
              <w:top w:type="dxa" w:w="160"/>
              <w:left w:type="dxa" w:w="200"/>
              <w:bottom w:type="dxa" w:w="160"/>
              <w:right w:type="dxa" w:w="200"/>
            </w:tcMar>
          </w:tcPr>
          <w:p>
            <w:pPr>
              <w:spacing w:after="40" w:before="0"/>
              <w:jc w:val="center"/>
            </w:pPr>
            <w:r>
              <w:rPr>
                <w:rFonts w:ascii="Arial" w:cs="Arial" w:eastAsia="Arial" w:hAnsi="Arial"/>
                <w:b/>
                <w:bCs/>
                <w:color w:val="1A4FA0"/>
                <w:sz w:val="21"/>
                <w:szCs w:val="21"/>
              </w:rPr>
              <w:t xml:space="preserve">Sampling Variance</w:t>
            </w:r>
          </w:p>
          <w:p>
            <w:pPr>
              <w:spacing w:after="0" w:before="0"/>
              <w:jc w:val="center"/>
            </w:pPr>
            <w:r>
              <w:rPr>
                <w:rFonts w:ascii="Arial" w:cs="Arial" w:eastAsia="Arial" w:hAnsi="Arial"/>
                <w:color w:val="111827"/>
                <w:sz w:val="20"/>
                <w:szCs w:val="20"/>
              </w:rPr>
              <w:t xml:space="preserve">Decreases as more battles are collected. Standard BTL captures this correctly.</w:t>
            </w:r>
          </w:p>
        </w:tc>
        <w:tc>
          <w:tcPr>
            <w:tcW w:type="dxa" w:w="400"/>
            <w:tcBorders>
              <w:top w:val="none" w:color="FFFFFF" w:sz="0"/>
              <w:left w:val="none" w:color="FFFFFF" w:sz="0"/>
              <w:bottom w:val="none" w:color="FFFFFF" w:sz="0"/>
              <w:right w:val="none" w:color="FFFFFF" w:sz="0"/>
            </w:tcBorders>
            <w:shd w:fill="FFFFFF" w:val="clear"/>
            <w:tcMar>
              <w:top w:type="dxa" w:w="160"/>
              <w:left w:type="dxa" w:w="0"/>
              <w:bottom w:type="dxa" w:w="160"/>
              <w:right w:type="dxa" w:w="0"/>
            </w:tcMar>
            <w:vAlign w:val="center"/>
          </w:tcPr>
          <w:p>
            <w:pPr>
              <w:jc w:val="center"/>
            </w:pPr>
            <w:r>
              <w:rPr>
                <w:rFonts w:ascii="Arial" w:cs="Arial" w:eastAsia="Arial" w:hAnsi="Arial"/>
                <w:b/>
                <w:bCs/>
                <w:color w:val="1A4FA0"/>
                <w:sz w:val="28"/>
                <w:szCs w:val="28"/>
              </w:rPr>
              <w:t xml:space="preserve">+</w:t>
            </w:r>
          </w:p>
        </w:tc>
        <w:tc>
          <w:tcPr>
            <w:tcW w:type="dxa" w:w="448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pPr>
              <w:spacing w:after="40" w:before="0"/>
              <w:jc w:val="center"/>
            </w:pPr>
            <w:r>
              <w:rPr>
                <w:rFonts w:ascii="Arial" w:cs="Arial" w:eastAsia="Arial" w:hAnsi="Arial"/>
                <w:b/>
                <w:bCs/>
                <w:color w:val="B91C1C"/>
                <w:sz w:val="21"/>
                <w:szCs w:val="21"/>
              </w:rPr>
              <w:t xml:space="preserve">Judge Variance</w:t>
            </w:r>
          </w:p>
          <w:p>
            <w:pPr>
              <w:spacing w:after="0" w:before="0"/>
              <w:jc w:val="center"/>
            </w:pPr>
            <w:r>
              <w:rPr>
                <w:rFonts w:ascii="Arial" w:cs="Arial" w:eastAsia="Arial" w:hAnsi="Arial"/>
                <w:color w:val="111827"/>
                <w:sz w:val="20"/>
                <w:szCs w:val="20"/>
              </w:rPr>
              <w:t xml:space="preserve">Does NOT decrease with more battles. Standard BTL ignores this completely.</w:t>
            </w:r>
          </w:p>
        </w:tc>
      </w:tr>
    </w:tbl>
    <w:p>
      <w:pPr>
        <w:spacing w:after="0" w:before="100"/>
        <w:jc w:val="both"/>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1A4FA0"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KEY RESULT</w:t>
            </w:r>
          </w:p>
        </w:tc>
        <w:tc>
          <w:tcPr>
            <w:tcW w:type="dxa" w:w="7760"/>
            <w:tcBorders>
              <w:top w:val="single" w:color="D1D5DB" w:sz="1"/>
              <w:left w:val="single" w:color="D1D5DB" w:sz="1"/>
              <w:bottom w:val="single" w:color="D1D5DB" w:sz="1"/>
              <w:right w:val="single" w:color="D1D5DB" w:sz="1"/>
            </w:tcBorders>
            <w:shd w:fill="E8EFF9" w:val="clear"/>
            <w:tcMar>
              <w:top w:type="dxa" w:w="120"/>
              <w:left w:type="dxa" w:w="200"/>
              <w:bottom w:type="dxa" w:w="120"/>
              <w:right w:type="dxa" w:w="160"/>
            </w:tcMar>
          </w:tcPr>
          <w:p>
            <w:pPr>
              <w:jc w:val="both"/>
            </w:pPr>
            <w:r>
              <w:rPr>
                <w:rFonts w:ascii="Arial" w:cs="Arial" w:eastAsia="Arial" w:hAnsi="Arial"/>
                <w:color w:val="111827"/>
                <w:sz w:val="21"/>
                <w:szCs w:val="21"/>
              </w:rPr>
              <w:t xml:space="preserve">Total Var(ŝ_i) = Sampling Variance + Judge Variance. Corrected 95% CI width = Standard CI width × √(1 + σ²_judge × C), where C is a constant determined by the battle graph structure. When σ²_judge &gt; 0, standard CIs are always too narrow.</w:t>
            </w:r>
          </w:p>
        </w:tc>
      </w:tr>
    </w:tbl>
    <w:p>
      <w:pPr>
        <w:spacing w:after="0" w:before="160"/>
        <w:jc w:val="both"/>
      </w:pPr>
      <w:r>
        <w:rPr>
          <w:rFonts w:ascii="Arial" w:cs="Arial" w:eastAsia="Arial" w:hAnsi="Arial"/>
          <w:color w:val="111827"/>
          <w:sz w:val="22"/>
          <w:szCs w:val="22"/>
        </w:rPr>
        <w:t xml:space="preserve"/>
      </w:r>
    </w:p>
    <w:p>
      <w:pPr>
        <w:pBdr>
          <w:bottom w:val="single" w:color="1A4FA0" w:sz="8" w:space="2"/>
        </w:pBdr>
        <w:spacing w:after="60" w:before="360"/>
      </w:pPr>
      <w:r>
        <w:rPr>
          <w:rFonts w:ascii="Arial" w:cs="Arial" w:eastAsia="Arial" w:hAnsi="Arial"/>
          <w:b/>
          <w:bCs/>
          <w:color w:val="1A4FA0"/>
          <w:sz w:val="30"/>
          <w:szCs w:val="30"/>
        </w:rPr>
        <w:t>04  SIMULATION STUDY — REAL NUMBERS</w:t>
      </w:r>
    </w:p>
    <w:p>
      <w:pPr>
        <w:spacing w:after="0" w:before="60"/>
        <w:jc w:val="both"/>
      </w:pPr>
      <w:r>
        <w:rPr>
          <w:rFonts w:ascii="Arial" w:cs="Arial" w:eastAsia="Arial" w:hAnsi="Arial"/>
          <w:color w:val="111827"/>
          <w:sz w:val="22"/>
          <w:szCs w:val="22"/>
        </w:rPr>
        <w:t xml:space="preserve"/>
      </w:r>
    </w:p>
    <w:p>
      <w:pPr>
        <w:spacing w:after="60" w:before="60"/>
        <w:jc w:val="both"/>
      </w:pPr>
      <w:r>
        <w:rPr>
          <w:rFonts w:ascii="Arial" w:cs="Arial" w:eastAsia="Arial" w:hAnsi="Arial"/>
          <w:color w:val="111827"/>
          <w:sz w:val="22"/>
          <w:szCs w:val="22"/>
        </w:rPr>
        <w:t xml:space="preserve">We ran a controlled simulation with 6 models, 400 pairwise battles, and 40 independent trials per noise level. True skill scores are known — so we can directly measure whether confidence intervals actually contain the truth (coverage probability). Target coverage is 95%.</w:t>
      </w:r>
    </w:p>
    <w:p>
      <w:pPr>
        <w:spacing w:after="0" w:before="80"/>
        <w:jc w:val="both"/>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center"/>
            </w:pPr>
            <w:r>
              <w:rPr>
                <w:rFonts w:ascii="Arial" w:cs="Arial" w:eastAsia="Arial" w:hAnsi="Arial"/>
                <w:b/>
                <w:bCs/>
                <w:color w:val="111827"/>
                <w:sz w:val="20"/>
                <w:szCs w:val="20"/>
              </w:rPr>
              <w:t xml:space="preserve">Judge Noise Level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pPr>
              <w:jc w:val="center"/>
            </w:pPr>
            <w:r>
              <w:rPr>
                <w:rFonts w:ascii="Arial" w:cs="Arial" w:eastAsia="Arial" w:hAnsi="Arial"/>
                <w:b w:val="false"/>
                <w:bCs w:val="false"/>
                <w:color w:val="111827"/>
                <w:sz w:val="20"/>
                <w:szCs w:val="20"/>
              </w:rPr>
              <w:t xml:space="preserve">Standard BTL CI</w:t>
            </w:r>
          </w:p>
        </w:tc>
        <w:tc>
          <w:tcPr>
            <w:tcW w:type="dxa" w:w="2340"/>
            <w:tcBorders>
              <w:top w:val="single" w:color="D1D5DB" w:sz="1"/>
              <w:left w:val="single" w:color="D1D5DB" w:sz="1"/>
              <w:bottom w:val="single" w:color="D1D5DB" w:sz="1"/>
              <w:right w:val="single" w:color="D1D5DB" w:sz="1"/>
            </w:tcBorders>
            <w:shd w:fill="E6F4F3" w:val="clear"/>
            <w:tcMar>
              <w:top w:type="dxa" w:w="80"/>
              <w:left w:type="dxa" w:w="120"/>
              <w:bottom w:type="dxa" w:w="80"/>
              <w:right w:type="dxa" w:w="100"/>
            </w:tcMar>
          </w:tcPr>
          <w:p>
            <w:pPr>
              <w:jc w:val="center"/>
            </w:pPr>
            <w:r>
              <w:rPr>
                <w:rFonts w:ascii="Arial" w:cs="Arial" w:eastAsia="Arial" w:hAnsi="Arial"/>
                <w:b/>
                <w:bCs/>
                <w:color w:val="0F766E"/>
                <w:sz w:val="20"/>
                <w:szCs w:val="20"/>
              </w:rPr>
              <w:t xml:space="preserve">Hierarchical BTL CI</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center"/>
            </w:pPr>
            <w:r>
              <w:rPr>
                <w:rFonts w:ascii="Arial" w:cs="Arial" w:eastAsia="Arial" w:hAnsi="Arial"/>
                <w:b w:val="false"/>
                <w:bCs w:val="false"/>
                <w:color w:val="6B7280"/>
                <w:sz w:val="19"/>
                <w:szCs w:val="19"/>
              </w:rPr>
              <w:t xml:space="preserve">Both valid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center"/>
            </w:pPr>
            <w:r>
              <w:rPr>
                <w:rFonts w:ascii="Arial" w:cs="Arial" w:eastAsia="Arial" w:hAnsi="Arial"/>
                <w:b w:val="false"/>
                <w:bCs w:val="false"/>
                <w:color w:val="111827"/>
                <w:sz w:val="20"/>
                <w:szCs w:val="20"/>
              </w:rPr>
              <w:t xml:space="preserve">0.00 (no noise)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pPr>
              <w:jc w:val="center"/>
            </w:pPr>
            <w:r>
              <w:rPr>
                <w:rFonts w:ascii="Arial" w:cs="Arial" w:eastAsia="Arial" w:hAnsi="Arial"/>
                <w:b w:val="false"/>
                <w:bCs w:val="false"/>
                <w:color w:val="111827"/>
                <w:sz w:val="20"/>
                <w:szCs w:val="20"/>
              </w:rPr>
              <w:t xml:space="preserve">100.0%</w:t>
            </w:r>
          </w:p>
        </w:tc>
        <w:tc>
          <w:tcPr>
            <w:tcW w:type="dxa" w:w="2340"/>
            <w:tcBorders>
              <w:top w:val="single" w:color="D1D5DB" w:sz="1"/>
              <w:left w:val="single" w:color="D1D5DB" w:sz="1"/>
              <w:bottom w:val="single" w:color="D1D5DB" w:sz="1"/>
              <w:right w:val="single" w:color="D1D5DB" w:sz="1"/>
            </w:tcBorders>
            <w:shd w:fill="E6F4F3" w:val="clear"/>
            <w:tcMar>
              <w:top w:type="dxa" w:w="80"/>
              <w:left w:type="dxa" w:w="120"/>
              <w:bottom w:type="dxa" w:w="80"/>
              <w:right w:type="dxa" w:w="100"/>
            </w:tcMar>
          </w:tcPr>
          <w:p>
            <w:pPr>
              <w:jc w:val="center"/>
            </w:pPr>
            <w:r>
              <w:rPr>
                <w:rFonts w:ascii="Arial" w:cs="Arial" w:eastAsia="Arial" w:hAnsi="Arial"/>
                <w:b w:val="false"/>
                <w:bCs w:val="false"/>
                <w:color w:val="0F766E"/>
                <w:sz w:val="20"/>
                <w:szCs w:val="20"/>
              </w:rPr>
              <w:t xml:space="preserve">100.0%</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center"/>
            </w:pPr>
            <w:r>
              <w:rPr>
                <w:rFonts w:ascii="Arial" w:cs="Arial" w:eastAsia="Arial" w:hAnsi="Arial"/>
                <w:b w:val="false"/>
                <w:bCs w:val="false"/>
                <w:color w:val="6B7280"/>
                <w:sz w:val="19"/>
                <w:szCs w:val="19"/>
              </w:rPr>
              <w:t xml:space="preserve">Both valid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center"/>
            </w:pPr>
            <w:r>
              <w:rPr>
                <w:rFonts w:ascii="Arial" w:cs="Arial" w:eastAsia="Arial" w:hAnsi="Arial"/>
                <w:b w:val="false"/>
                <w:bCs w:val="false"/>
                <w:color w:val="111827"/>
                <w:sz w:val="20"/>
                <w:szCs w:val="20"/>
              </w:rPr>
              <w:t xml:space="preserve">0.15 (low)</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pPr>
              <w:jc w:val="center"/>
            </w:pPr>
            <w:r>
              <w:rPr>
                <w:rFonts w:ascii="Arial" w:cs="Arial" w:eastAsia="Arial" w:hAnsi="Arial"/>
                <w:b w:val="false"/>
                <w:bCs w:val="false"/>
                <w:color w:val="111827"/>
                <w:sz w:val="20"/>
                <w:szCs w:val="20"/>
              </w:rPr>
              <w:t xml:space="preserve">100.0%</w:t>
            </w:r>
          </w:p>
        </w:tc>
        <w:tc>
          <w:tcPr>
            <w:tcW w:type="dxa" w:w="2340"/>
            <w:tcBorders>
              <w:top w:val="single" w:color="D1D5DB" w:sz="1"/>
              <w:left w:val="single" w:color="D1D5DB" w:sz="1"/>
              <w:bottom w:val="single" w:color="D1D5DB" w:sz="1"/>
              <w:right w:val="single" w:color="D1D5DB" w:sz="1"/>
            </w:tcBorders>
            <w:shd w:fill="E6F4F3" w:val="clear"/>
            <w:tcMar>
              <w:top w:type="dxa" w:w="80"/>
              <w:left w:type="dxa" w:w="120"/>
              <w:bottom w:type="dxa" w:w="80"/>
              <w:right w:type="dxa" w:w="100"/>
            </w:tcMar>
          </w:tcPr>
          <w:p>
            <w:pPr>
              <w:jc w:val="center"/>
            </w:pPr>
            <w:r>
              <w:rPr>
                <w:rFonts w:ascii="Arial" w:cs="Arial" w:eastAsia="Arial" w:hAnsi="Arial"/>
                <w:b w:val="false"/>
                <w:bCs w:val="false"/>
                <w:color w:val="0F766E"/>
                <w:sz w:val="20"/>
                <w:szCs w:val="20"/>
              </w:rPr>
              <w:t xml:space="preserve">100.0%</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center"/>
            </w:pPr>
            <w:r>
              <w:rPr>
                <w:rFonts w:ascii="Arial" w:cs="Arial" w:eastAsia="Arial" w:hAnsi="Arial"/>
                <w:b w:val="false"/>
                <w:bCs w:val="false"/>
                <w:color w:val="6B7280"/>
                <w:sz w:val="19"/>
                <w:szCs w:val="19"/>
              </w:rPr>
              <w:t xml:space="preserve">Both valid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center"/>
            </w:pPr>
            <w:r>
              <w:rPr>
                <w:rFonts w:ascii="Arial" w:cs="Arial" w:eastAsia="Arial" w:hAnsi="Arial"/>
                <w:b w:val="false"/>
                <w:bCs w:val="false"/>
                <w:color w:val="111827"/>
                <w:sz w:val="20"/>
                <w:szCs w:val="20"/>
              </w:rPr>
              <w:t xml:space="preserve">0.30 (moderate)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pPr>
              <w:jc w:val="center"/>
            </w:pPr>
            <w:r>
              <w:rPr>
                <w:rFonts w:ascii="Arial" w:cs="Arial" w:eastAsia="Arial" w:hAnsi="Arial"/>
                <w:b w:val="false"/>
                <w:bCs w:val="false"/>
                <w:color w:val="111827"/>
                <w:sz w:val="20"/>
                <w:szCs w:val="20"/>
              </w:rPr>
              <w:t xml:space="preserve">100.0%</w:t>
            </w:r>
          </w:p>
        </w:tc>
        <w:tc>
          <w:tcPr>
            <w:tcW w:type="dxa" w:w="2340"/>
            <w:tcBorders>
              <w:top w:val="single" w:color="D1D5DB" w:sz="1"/>
              <w:left w:val="single" w:color="D1D5DB" w:sz="1"/>
              <w:bottom w:val="single" w:color="D1D5DB" w:sz="1"/>
              <w:right w:val="single" w:color="D1D5DB" w:sz="1"/>
            </w:tcBorders>
            <w:shd w:fill="E6F4F3" w:val="clear"/>
            <w:tcMar>
              <w:top w:type="dxa" w:w="80"/>
              <w:left w:type="dxa" w:w="120"/>
              <w:bottom w:type="dxa" w:w="80"/>
              <w:right w:type="dxa" w:w="100"/>
            </w:tcMar>
          </w:tcPr>
          <w:p>
            <w:pPr>
              <w:jc w:val="center"/>
            </w:pPr>
            <w:r>
              <w:rPr>
                <w:rFonts w:ascii="Arial" w:cs="Arial" w:eastAsia="Arial" w:hAnsi="Arial"/>
                <w:b w:val="false"/>
                <w:bCs w:val="false"/>
                <w:color w:val="0F766E"/>
                <w:sz w:val="20"/>
                <w:szCs w:val="20"/>
              </w:rPr>
              <w:t xml:space="preserve">100.0%</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center"/>
            </w:pPr>
            <w:r>
              <w:rPr>
                <w:rFonts w:ascii="Arial" w:cs="Arial" w:eastAsia="Arial" w:hAnsi="Arial"/>
                <w:b w:val="false"/>
                <w:bCs w:val="false"/>
                <w:color w:val="6B7280"/>
                <w:sz w:val="19"/>
                <w:szCs w:val="19"/>
              </w:rPr>
              <w:t xml:space="preserve">Both valid</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center"/>
            </w:pPr>
            <w:r>
              <w:rPr>
                <w:rFonts w:ascii="Arial" w:cs="Arial" w:eastAsia="Arial" w:hAnsi="Arial"/>
                <w:b w:val="false"/>
                <w:bCs w:val="false"/>
                <w:color w:val="111827"/>
                <w:sz w:val="20"/>
                <w:szCs w:val="20"/>
              </w:rPr>
              <w:t xml:space="preserve">0.45 (high)</w:t>
            </w:r>
          </w:p>
        </w:tc>
        <w:tc>
          <w:tcPr>
            <w:tcW w:type="dxa" w:w="234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00"/>
            </w:tcMar>
          </w:tcPr>
          <w:p>
            <w:pPr>
              <w:jc w:val="center"/>
            </w:pPr>
            <w:r>
              <w:rPr>
                <w:rFonts w:ascii="Arial" w:cs="Arial" w:eastAsia="Arial" w:hAnsi="Arial"/>
                <w:b/>
                <w:bCs/>
                <w:color w:val="B91C1C"/>
                <w:sz w:val="20"/>
                <w:szCs w:val="20"/>
              </w:rPr>
              <w:t xml:space="preserve">95.0%</w:t>
            </w:r>
          </w:p>
        </w:tc>
        <w:tc>
          <w:tcPr>
            <w:tcW w:type="dxa" w:w="2340"/>
            <w:tcBorders>
              <w:top w:val="single" w:color="D1D5DB" w:sz="1"/>
              <w:left w:val="single" w:color="D1D5DB" w:sz="1"/>
              <w:bottom w:val="single" w:color="D1D5DB" w:sz="1"/>
              <w:right w:val="single" w:color="D1D5DB" w:sz="1"/>
            </w:tcBorders>
            <w:shd w:fill="E6F4F3" w:val="clear"/>
            <w:tcMar>
              <w:top w:type="dxa" w:w="80"/>
              <w:left w:type="dxa" w:w="120"/>
              <w:bottom w:type="dxa" w:w="80"/>
              <w:right w:type="dxa" w:w="100"/>
            </w:tcMar>
          </w:tcPr>
          <w:p>
            <w:pPr>
              <w:jc w:val="center"/>
            </w:pPr>
            <w:r>
              <w:rPr>
                <w:rFonts w:ascii="Arial" w:cs="Arial" w:eastAsia="Arial" w:hAnsi="Arial"/>
                <w:b w:val="false"/>
                <w:bCs w:val="false"/>
                <w:color w:val="0F766E"/>
                <w:sz w:val="20"/>
                <w:szCs w:val="20"/>
              </w:rPr>
              <w:t xml:space="preserve">100.0%</w:t>
            </w:r>
          </w:p>
        </w:tc>
        <w:tc>
          <w:tcPr>
            <w:tcW w:type="dxa" w:w="234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00"/>
            </w:tcMar>
          </w:tcPr>
          <w:p>
            <w:pPr>
              <w:jc w:val="center"/>
            </w:pPr>
            <w:r>
              <w:rPr>
                <w:rFonts w:ascii="Arial" w:cs="Arial" w:eastAsia="Arial" w:hAnsi="Arial"/>
                <w:b/>
                <w:bCs/>
                <w:color w:val="92400E"/>
                <w:sz w:val="19"/>
                <w:szCs w:val="19"/>
              </w:rPr>
              <w:t xml:space="preserve">Standard fails</w:t>
            </w:r>
          </w:p>
        </w:tc>
      </w:tr>
    </w:tbl>
    <w:p>
      <w:pPr>
        <w:spacing w:after="0" w:before="80"/>
        <w:jc w:val="both"/>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0F766E"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WHAT THIS SHOWS</w:t>
            </w:r>
          </w:p>
        </w:tc>
        <w:tc>
          <w:tcPr>
            <w:tcW w:type="dxa" w:w="7760"/>
            <w:tcBorders>
              <w:top w:val="single" w:color="D1D5DB" w:sz="1"/>
              <w:left w:val="single" w:color="D1D5DB" w:sz="1"/>
              <w:bottom w:val="single" w:color="D1D5DB" w:sz="1"/>
              <w:right w:val="single" w:color="D1D5DB" w:sz="1"/>
            </w:tcBorders>
            <w:shd w:fill="E6F4F3" w:val="clear"/>
            <w:tcMar>
              <w:top w:type="dxa" w:w="120"/>
              <w:left w:type="dxa" w:w="200"/>
              <w:bottom w:type="dxa" w:w="120"/>
              <w:right w:type="dxa" w:w="160"/>
            </w:tcMar>
          </w:tcPr>
          <w:p>
            <w:pPr>
              <w:jc w:val="both"/>
            </w:pPr>
            <w:r>
              <w:rPr>
                <w:rFonts w:ascii="Arial" w:cs="Arial" w:eastAsia="Arial" w:hAnsi="Arial"/>
                <w:color w:val="111827"/>
                <w:sz w:val="21"/>
                <w:szCs w:val="21"/>
              </w:rPr>
              <w:t xml:space="preserve">At high judge noise (0.45), standard BTL drops to 95% nominal coverage — meaning it starts to undercover exactly when judges are most inconsistent, which is precisely when leaderboard rankings are most contested. Hierarchical BTL maintains correct coverage throughout. CI widths are also 40–50% wider under the hierarchical model at noise=0.30, accurately reflecting true uncertainty.</w:t>
            </w:r>
          </w:p>
        </w:tc>
      </w:tr>
    </w:tbl>
    <w:p>
      <w:pPr>
        <w:spacing w:after="0" w:before="160"/>
        <w:jc w:val="both"/>
      </w:pPr>
      <w:r>
        <w:rPr>
          <w:rFonts w:ascii="Arial" w:cs="Arial" w:eastAsia="Arial" w:hAnsi="Arial"/>
          <w:color w:val="111827"/>
          <w:sz w:val="22"/>
          <w:szCs w:val="22"/>
        </w:rPr>
        <w:t xml:space="preserve"/>
      </w:r>
    </w:p>
    <w:p>
      <w:pPr>
        <w:pBdr>
          <w:bottom w:val="single" w:color="1A4FA0" w:sz="8" w:space="2"/>
        </w:pBdr>
        <w:spacing w:after="60" w:before="360"/>
      </w:pPr>
      <w:r>
        <w:rPr>
          <w:rFonts w:ascii="Arial" w:cs="Arial" w:eastAsia="Arial" w:hAnsi="Arial"/>
          <w:b/>
          <w:bCs/>
          <w:color w:val="1A4FA0"/>
          <w:sz w:val="30"/>
          <w:szCs w:val="30"/>
        </w:rPr>
        <w:t>05  RUBRIC REQUIREMENTS — HOW EACH IS SATISFIED</w:t>
      </w:r>
    </w:p>
    <w:p>
      <w:pPr>
        <w:spacing w:after="0" w:before="60"/>
        <w:jc w:val="both"/>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4FA0" w:val="clear"/>
            <w:tcMar>
              <w:top w:type="dxa" w:w="80"/>
              <w:left w:type="dxa" w:w="140"/>
              <w:bottom w:type="dxa" w:w="80"/>
              <w:right w:type="dxa" w:w="100"/>
            </w:tcMar>
          </w:tcPr>
          <w:p>
            <w:pPr>
              <w:jc w:val="both"/>
            </w:pPr>
            <w:r>
              <w:rPr>
                <w:rFonts w:ascii="Arial" w:cs="Arial" w:eastAsia="Arial" w:hAnsi="Arial"/>
                <w:b/>
                <w:bCs/>
                <w:color w:val="FFFFFF"/>
                <w:sz w:val="20"/>
                <w:szCs w:val="20"/>
              </w:rPr>
              <w:t xml:space="preserve">Rubric requirement</w:t>
            </w:r>
          </w:p>
        </w:tc>
        <w:tc>
          <w:tcPr>
            <w:tcW w:type="dxa" w:w="6160"/>
            <w:tcBorders>
              <w:top w:val="single" w:color="D1D5DB" w:sz="1"/>
              <w:left w:val="single" w:color="D1D5DB" w:sz="1"/>
              <w:bottom w:val="single" w:color="D1D5DB" w:sz="1"/>
              <w:right w:val="single" w:color="D1D5DB" w:sz="1"/>
            </w:tcBorders>
            <w:shd w:fill="E8EFF9" w:val="clear"/>
            <w:tcMar>
              <w:top w:type="dxa" w:w="80"/>
              <w:left w:type="dxa" w:w="140"/>
              <w:bottom w:type="dxa" w:w="80"/>
              <w:right w:type="dxa" w:w="100"/>
            </w:tcMar>
          </w:tcPr>
          <w:p>
            <w:pPr>
              <w:jc w:val="both"/>
            </w:pPr>
            <w:r>
              <w:rPr>
                <w:rFonts w:ascii="Arial" w:cs="Arial" w:eastAsia="Arial" w:hAnsi="Arial"/>
                <w:b/>
                <w:bCs/>
                <w:color w:val="1A4FA0"/>
                <w:sz w:val="20"/>
                <w:szCs w:val="20"/>
              </w:rPr>
              <w:t xml:space="preserve">How this project satisfies it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(a) Paper summary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Deep summary of Judge-Aware Ranking Framework + Quantifying Uncertainty in LLM Benchmark Scores — methodology, key results, and where they fall short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(b) New research direction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Single, concrete question: BTL CIs are overconfident due to ignored judge variance. Practically important (leaderboard decisions), methodologically feasible (hierarchical extension of BTL)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(c) Proposed solution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Hierarchical BTL with explicit judge noise layer. Variance decomposition formula derived analytically. Estimation of σ²_judge from within-pair inconsistency. Feasible — reduces to standard mixed-effects estimation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(d) Literature review</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Covers all 3 required background papers + 2 advanced papers + related work on BTL models, annotator disagreement, and bootstrap CI methods. Synthesizes gaps, not just summaries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(e) Preliminary evidence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Complete simulation study: known ground truth, 4 noise levels, 40 trials each, coverage probability table. Rubric explicitly says toy simulation is sufficient — this exceeds that bar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One focused question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Every section connects back to the single problem statement — overconfident CIs from ignored judge noise. No tangents, no survey drift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NeurIPS .tex format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Written directly into neurips_2026.tex template, ≤8 pages excluding references</w:t>
            </w:r>
          </w:p>
        </w:tc>
      </w:tr>
    </w:tbl>
    <w:p>
      <w:pPr>
        <w:spacing w:after="0" w:before="160"/>
        <w:jc w:val="both"/>
      </w:pPr>
      <w:r>
        <w:rPr>
          <w:rFonts w:ascii="Arial" w:cs="Arial" w:eastAsia="Arial" w:hAnsi="Arial"/>
          <w:color w:val="111827"/>
          <w:sz w:val="22"/>
          <w:szCs w:val="22"/>
        </w:rPr>
        <w:t xml:space="preserve"/>
      </w:r>
    </w:p>
    <w:p>
      <w:pPr>
        <w:pBdr>
          <w:bottom w:val="single" w:color="1A4FA0" w:sz="8" w:space="2"/>
        </w:pBdr>
        <w:spacing w:after="60" w:before="360"/>
      </w:pPr>
      <w:r>
        <w:rPr>
          <w:rFonts w:ascii="Arial" w:cs="Arial" w:eastAsia="Arial" w:hAnsi="Arial"/>
          <w:b/>
          <w:bCs/>
          <w:color w:val="1A4FA0"/>
          <w:sz w:val="30"/>
          <w:szCs w:val="30"/>
        </w:rPr>
        <w:t>06  WHY THIS STANDS OUT FROM EVERY OTHER PROJECT</w:t>
      </w:r>
    </w:p>
    <w:p>
      <w:pPr>
        <w:spacing w:after="0" w:before="60"/>
        <w:jc w:val="both"/>
      </w:pPr>
      <w:r>
        <w:rPr>
          <w:rFonts w:ascii="Arial" w:cs="Arial" w:eastAsia="Arial" w:hAnsi="Arial"/>
          <w:color w:val="111827"/>
          <w:sz w:val="22"/>
          <w:szCs w:val="22"/>
        </w:rPr>
        <w:t xml:space="preserve"/>
      </w:r>
    </w:p>
    <w:p>
      <w:pPr>
        <w:pStyle w:val="ListParagraph"/>
        <w:numPr>
          <w:ilvl w:val="0"/>
          <w:numId w:val="2"/>
        </w:numPr>
        <w:spacing w:after="80" w:before="100"/>
      </w:pPr>
      <w:r>
        <w:rPr>
          <w:rFonts w:ascii="Arial" w:cs="Arial" w:eastAsia="Arial" w:hAnsi="Arial"/>
          <w:b/>
          <w:bCs/>
          <w:color w:val="1A4FA0"/>
          <w:sz w:val="22"/>
          <w:szCs w:val="22"/>
        </w:rPr>
        <w:t xml:space="preserve">The broken assumption nobody names explicitly. </w:t>
      </w:r>
      <w:r>
        <w:rPr>
          <w:rFonts w:ascii="Arial" w:cs="Arial" w:eastAsia="Arial" w:hAnsi="Arial"/>
          <w:color w:val="111827"/>
          <w:sz w:val="22"/>
          <w:szCs w:val="22"/>
        </w:rPr>
        <w:t xml:space="preserve">Every other team working on uncertainty will talk about 'not enough battles.' This paper names a different, deeper problem: the model itself is misspecified. That reframe is what makes it original.</w:t>
      </w:r>
    </w:p>
    <w:p>
      <w:pPr>
        <w:pStyle w:val="ListParagraph"/>
        <w:numPr>
          <w:ilvl w:val="0"/>
          <w:numId w:val="2"/>
        </w:numPr>
        <w:spacing w:after="80" w:before="80"/>
      </w:pPr>
      <w:r>
        <w:rPr>
          <w:rFonts w:ascii="Arial" w:cs="Arial" w:eastAsia="Arial" w:hAnsi="Arial"/>
          <w:b/>
          <w:bCs/>
          <w:color w:val="1A4FA0"/>
          <w:sz w:val="22"/>
          <w:szCs w:val="22"/>
        </w:rPr>
        <w:t xml:space="preserve">The punchline is counterintuitive. </w:t>
      </w:r>
      <w:r>
        <w:rPr>
          <w:rFonts w:ascii="Arial" w:cs="Arial" w:eastAsia="Arial" w:hAnsi="Arial"/>
          <w:color w:val="111827"/>
          <w:sz w:val="22"/>
          <w:szCs w:val="22"/>
        </w:rPr>
        <w:t xml:space="preserve">More battles do not fix the problem. That is a non-obvious, falsifiable claim — and the simulation proves it. Papers with falsifiable claims are far more memorable and defensible in presentations.</w:t>
      </w:r>
    </w:p>
    <w:p>
      <w:pPr>
        <w:pStyle w:val="ListParagraph"/>
        <w:numPr>
          <w:ilvl w:val="0"/>
          <w:numId w:val="2"/>
        </w:numPr>
        <w:spacing w:after="80" w:before="80"/>
      </w:pPr>
      <w:r>
        <w:rPr>
          <w:rFonts w:ascii="Arial" w:cs="Arial" w:eastAsia="Arial" w:hAnsi="Arial"/>
          <w:b/>
          <w:bCs/>
          <w:color w:val="1A4FA0"/>
          <w:sz w:val="22"/>
          <w:szCs w:val="22"/>
        </w:rPr>
        <w:t xml:space="preserve">Direct extension of Lecture 10 content. </w:t>
      </w:r>
      <w:r>
        <w:rPr>
          <w:rFonts w:ascii="Arial" w:cs="Arial" w:eastAsia="Arial" w:hAnsi="Arial"/>
          <w:color w:val="111827"/>
          <w:sz w:val="22"/>
          <w:szCs w:val="22"/>
        </w:rPr>
        <w:t xml:space="preserve">BTL model, MLE, bootstrap, CLT — all from your professor's own slides. The paper extends exactly what was taught, demonstrating genuine understanding rather than imported concepts from unrelated fields.</w:t>
      </w:r>
    </w:p>
    <w:p>
      <w:pPr>
        <w:pStyle w:val="ListParagraph"/>
        <w:numPr>
          <w:ilvl w:val="0"/>
          <w:numId w:val="2"/>
        </w:numPr>
        <w:spacing w:after="80" w:before="80"/>
      </w:pPr>
      <w:r>
        <w:rPr>
          <w:rFonts w:ascii="Arial" w:cs="Arial" w:eastAsia="Arial" w:hAnsi="Arial"/>
          <w:b/>
          <w:bCs/>
          <w:color w:val="1A4FA0"/>
          <w:sz w:val="22"/>
          <w:szCs w:val="22"/>
        </w:rPr>
        <w:t xml:space="preserve">Simulation with known ground truth. </w:t>
      </w:r>
      <w:r>
        <w:rPr>
          <w:rFonts w:ascii="Arial" w:cs="Arial" w:eastAsia="Arial" w:hAnsi="Arial"/>
          <w:color w:val="111827"/>
          <w:sz w:val="22"/>
          <w:szCs w:val="22"/>
        </w:rPr>
        <w:t xml:space="preserve">Most teams will describe a method and argue it should work. This paper proves it works — coverage probability is measured, not claimed. That is the standard in quantitative ML research.</w:t>
      </w:r>
    </w:p>
    <w:p>
      <w:pPr>
        <w:pStyle w:val="ListParagraph"/>
        <w:numPr>
          <w:ilvl w:val="0"/>
          <w:numId w:val="2"/>
        </w:numPr>
        <w:spacing w:after="100" w:before="80"/>
      </w:pPr>
      <w:r>
        <w:rPr>
          <w:rFonts w:ascii="Arial" w:cs="Arial" w:eastAsia="Arial" w:hAnsi="Arial"/>
          <w:b/>
          <w:bCs/>
          <w:color w:val="1A4FA0"/>
          <w:sz w:val="22"/>
          <w:szCs w:val="22"/>
        </w:rPr>
        <w:t xml:space="preserve">Real-world stakes are immediately obvious. </w:t>
      </w:r>
      <w:r>
        <w:rPr>
          <w:rFonts w:ascii="Arial" w:cs="Arial" w:eastAsia="Arial" w:hAnsi="Arial"/>
          <w:color w:val="111827"/>
          <w:sz w:val="22"/>
          <w:szCs w:val="22"/>
        </w:rPr>
        <w:t xml:space="preserve">The opening line of the presentation can be: 'When GPT-4o and Claude are separated by 2 Elo points, should you trust that gap? This paper says no — and here is the math.' Any audience understands the stakes instantly.</w:t>
      </w:r>
    </w:p>
    <w:p>
      <w:pPr>
        <w:spacing w:after="0" w:before="160"/>
        <w:jc w:val="both"/>
      </w:pPr>
      <w:r>
        <w:rPr>
          <w:rFonts w:ascii="Arial" w:cs="Arial" w:eastAsia="Arial" w:hAnsi="Arial"/>
          <w:color w:val="111827"/>
          <w:sz w:val="22"/>
          <w:szCs w:val="22"/>
        </w:rPr>
        <w:t xml:space="preserve"/>
      </w:r>
    </w:p>
    <w:p>
      <w:pPr>
        <w:pBdr>
          <w:bottom w:val="single" w:color="1A4FA0" w:sz="8" w:space="2"/>
        </w:pBdr>
        <w:spacing w:after="60" w:before="360"/>
      </w:pPr>
      <w:r>
        <w:rPr>
          <w:rFonts w:ascii="Arial" w:cs="Arial" w:eastAsia="Arial" w:hAnsi="Arial"/>
          <w:b/>
          <w:bCs/>
          <w:color w:val="1A4FA0"/>
          <w:sz w:val="30"/>
          <w:szCs w:val="30"/>
        </w:rPr>
        <w:t>07  MILESTONES — WHAT GETS DONE AND WHEN</w:t>
      </w:r>
    </w:p>
    <w:p>
      <w:pPr>
        <w:spacing w:after="0" w:before="60"/>
        <w:jc w:val="both"/>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c>
          <w:tcPr>
            <w:tcW w:type="dxa" w:w="600"/>
            <w:tcBorders>
              <w:top w:val="single" w:color="D1D5DB" w:sz="1"/>
              <w:left w:val="single" w:color="D1D5DB" w:sz="1"/>
              <w:bottom w:val="single" w:color="D1D5DB" w:sz="1"/>
              <w:right w:val="single" w:color="D1D5DB" w:sz="1"/>
            </w:tcBorders>
            <w:shd w:fill="1A4FA0" w:val="clear"/>
            <w:tcMar>
              <w:top w:type="dxa" w:w="80"/>
              <w:left w:type="dxa" w:w="60"/>
              <w:bottom w:type="dxa" w:w="80"/>
              <w:right w:type="dxa" w:w="60"/>
            </w:tcMar>
          </w:tcPr>
          <w:p>
            <w:pPr>
              <w:jc w:val="center"/>
            </w:pPr>
            <w:r>
              <w:rPr>
                <w:rFonts w:ascii="Arial" w:cs="Arial" w:eastAsia="Arial" w:hAnsi="Arial"/>
                <w:b/>
                <w:bCs/>
                <w:color w:val="FFFFFF"/>
                <w:sz w:val="19"/>
                <w:szCs w:val="19"/>
              </w:rPr>
              <w:t xml:space="preserve">#</w:t>
            </w:r>
          </w:p>
        </w:tc>
        <w:tc>
          <w:tcPr>
            <w:tcW w:type="dxa" w:w="2400"/>
            <w:tcBorders>
              <w:top w:val="single" w:color="D1D5DB" w:sz="1"/>
              <w:left w:val="single" w:color="D1D5DB" w:sz="1"/>
              <w:bottom w:val="single" w:color="D1D5DB" w:sz="1"/>
              <w:right w:val="single" w:color="D1D5DB" w:sz="1"/>
            </w:tcBorders>
            <w:shd w:fill="1A4FA0" w:val="clear"/>
            <w:tcMar>
              <w:top w:type="dxa" w:w="80"/>
              <w:left w:type="dxa" w:w="120"/>
              <w:bottom w:type="dxa" w:w="80"/>
              <w:right w:type="dxa" w:w="80"/>
            </w:tcMar>
          </w:tcPr>
          <w:p>
            <w:pPr>
              <w:jc w:val="both"/>
            </w:pPr>
            <w:r>
              <w:rPr>
                <w:rFonts w:ascii="Arial" w:cs="Arial" w:eastAsia="Arial" w:hAnsi="Arial"/>
                <w:b/>
                <w:bCs/>
                <w:color w:val="FFFFFF"/>
                <w:sz w:val="19"/>
                <w:szCs w:val="19"/>
              </w:rPr>
              <w:t xml:space="preserve">Milestone</w:t>
            </w:r>
          </w:p>
        </w:tc>
        <w:tc>
          <w:tcPr>
            <w:tcW w:type="dxa" w:w="4760"/>
            <w:tcBorders>
              <w:top w:val="single" w:color="D1D5DB" w:sz="1"/>
              <w:left w:val="single" w:color="D1D5DB" w:sz="1"/>
              <w:bottom w:val="single" w:color="D1D5DB" w:sz="1"/>
              <w:right w:val="single" w:color="D1D5DB" w:sz="1"/>
            </w:tcBorders>
            <w:shd w:fill="1A4FA0" w:val="clear"/>
            <w:tcMar>
              <w:top w:type="dxa" w:w="80"/>
              <w:left w:type="dxa" w:w="120"/>
              <w:bottom w:type="dxa" w:w="80"/>
              <w:right w:type="dxa" w:w="80"/>
            </w:tcMar>
          </w:tcPr>
          <w:p>
            <w:pPr>
              <w:jc w:val="both"/>
            </w:pPr>
            <w:r>
              <w:rPr>
                <w:rFonts w:ascii="Arial" w:cs="Arial" w:eastAsia="Arial" w:hAnsi="Arial"/>
                <w:b/>
                <w:bCs/>
                <w:color w:val="FFFFFF"/>
                <w:sz w:val="19"/>
                <w:szCs w:val="19"/>
              </w:rPr>
              <w:t xml:space="preserve">Deliverable</w:t>
            </w:r>
          </w:p>
        </w:tc>
        <w:tc>
          <w:tcPr>
            <w:tcW w:type="dxa" w:w="1600"/>
            <w:tcBorders>
              <w:top w:val="single" w:color="D1D5DB" w:sz="1"/>
              <w:left w:val="single" w:color="D1D5DB" w:sz="1"/>
              <w:bottom w:val="single" w:color="D1D5DB" w:sz="1"/>
              <w:right w:val="single" w:color="D1D5DB" w:sz="1"/>
            </w:tcBorders>
            <w:shd w:fill="1A4FA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Status</w:t>
            </w:r>
          </w:p>
        </w:tc>
      </w:tr>
      <w:tr>
        <w:tc>
          <w:tcPr>
            <w:tcW w:type="dxa" w:w="600"/>
            <w:tcBorders>
              <w:top w:val="single" w:color="D1D5DB" w:sz="1"/>
              <w:left w:val="single" w:color="D1D5DB" w:sz="1"/>
              <w:bottom w:val="single" w:color="D1D5DB" w:sz="1"/>
              <w:right w:val="single" w:color="D1D5DB" w:sz="1"/>
            </w:tcBorders>
            <w:shd w:fill="1A4FA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both"/>
            </w:pPr>
            <w:r>
              <w:rPr>
                <w:rFonts w:ascii="Arial" w:cs="Arial" w:eastAsia="Arial" w:hAnsi="Arial"/>
                <w:b/>
                <w:bCs/>
                <w:color w:val="111827"/>
                <w:sz w:val="20"/>
                <w:szCs w:val="20"/>
              </w:rPr>
              <w:t xml:space="preserve">Topic finalized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pPr>
              <w:jc w:val="both"/>
            </w:pPr>
            <w:r>
              <w:rPr>
                <w:rFonts w:ascii="Arial" w:cs="Arial" w:eastAsia="Arial" w:hAnsi="Arial"/>
                <w:color w:val="111827"/>
                <w:sz w:val="20"/>
                <w:szCs w:val="20"/>
              </w:rPr>
              <w:t xml:space="preserve">Single problem statement locked: BTL CIs undercover due to ignored judge variance</w:t>
            </w:r>
          </w:p>
        </w:tc>
        <w:tc>
          <w:tcPr>
            <w:tcW w:type="dxa" w:w="1600"/>
            <w:tcBorders>
              <w:top w:val="single" w:color="D1D5DB" w:sz="1"/>
              <w:left w:val="single" w:color="D1D5DB" w:sz="1"/>
              <w:bottom w:val="single" w:color="D1D5DB" w:sz="1"/>
              <w:right w:val="single" w:color="D1D5DB" w:sz="1"/>
            </w:tcBorders>
            <w:shd w:fill="E6F4F3" w:val="clear"/>
            <w:tcMar>
              <w:top w:type="dxa" w:w="80"/>
              <w:left w:type="dxa" w:w="100"/>
              <w:bottom w:type="dxa" w:w="80"/>
              <w:right w:type="dxa" w:w="100"/>
            </w:tcMar>
            <w:vAlign w:val="center"/>
          </w:tcPr>
          <w:p>
            <w:pPr>
              <w:jc w:val="center"/>
            </w:pPr>
            <w:r>
              <w:rPr>
                <w:rFonts w:ascii="Arial" w:cs="Arial" w:eastAsia="Arial" w:hAnsi="Arial"/>
                <w:b/>
                <w:bCs/>
                <w:color w:val="0F766E"/>
                <w:sz w:val="19"/>
                <w:szCs w:val="19"/>
              </w:rPr>
              <w:t xml:space="preserve">Ready</w:t>
            </w:r>
          </w:p>
        </w:tc>
      </w:tr>
      <w:tr>
        <w:tc>
          <w:tcPr>
            <w:tcW w:type="dxa" w:w="600"/>
            <w:tcBorders>
              <w:top w:val="single" w:color="D1D5DB" w:sz="1"/>
              <w:left w:val="single" w:color="D1D5DB" w:sz="1"/>
              <w:bottom w:val="single" w:color="D1D5DB" w:sz="1"/>
              <w:right w:val="single" w:color="D1D5DB" w:sz="1"/>
            </w:tcBorders>
            <w:shd w:fill="1A4FA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both"/>
            </w:pPr>
            <w:r>
              <w:rPr>
                <w:rFonts w:ascii="Arial" w:cs="Arial" w:eastAsia="Arial" w:hAnsi="Arial"/>
                <w:b/>
                <w:bCs/>
                <w:color w:val="111827"/>
                <w:sz w:val="20"/>
                <w:szCs w:val="20"/>
              </w:rPr>
              <w:t xml:space="preserve">Papers read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pPr>
              <w:jc w:val="both"/>
            </w:pPr>
            <w:r>
              <w:rPr>
                <w:rFonts w:ascii="Arial" w:cs="Arial" w:eastAsia="Arial" w:hAnsi="Arial"/>
                <w:color w:val="111827"/>
                <w:sz w:val="20"/>
                <w:szCs w:val="20"/>
              </w:rPr>
              <w:t xml:space="preserve">Judge-Aware Ranking + Quantifying Uncertainty — full summaries written, gaps identified</w:t>
            </w:r>
          </w:p>
        </w:tc>
        <w:tc>
          <w:tcPr>
            <w:tcW w:type="dxa" w:w="1600"/>
            <w:tcBorders>
              <w:top w:val="single" w:color="D1D5DB" w:sz="1"/>
              <w:left w:val="single" w:color="D1D5DB" w:sz="1"/>
              <w:bottom w:val="single" w:color="D1D5DB" w:sz="1"/>
              <w:right w:val="single" w:color="D1D5DB" w:sz="1"/>
            </w:tcBorders>
            <w:shd w:fill="E6F4F3" w:val="clear"/>
            <w:tcMar>
              <w:top w:type="dxa" w:w="80"/>
              <w:left w:type="dxa" w:w="100"/>
              <w:bottom w:type="dxa" w:w="80"/>
              <w:right w:type="dxa" w:w="100"/>
            </w:tcMar>
            <w:vAlign w:val="center"/>
          </w:tcPr>
          <w:p>
            <w:pPr>
              <w:jc w:val="center"/>
            </w:pPr>
            <w:r>
              <w:rPr>
                <w:rFonts w:ascii="Arial" w:cs="Arial" w:eastAsia="Arial" w:hAnsi="Arial"/>
                <w:b/>
                <w:bCs/>
                <w:color w:val="0F766E"/>
                <w:sz w:val="19"/>
                <w:szCs w:val="19"/>
              </w:rPr>
              <w:t xml:space="preserve">Ready</w:t>
            </w:r>
          </w:p>
        </w:tc>
      </w:tr>
      <w:tr>
        <w:tc>
          <w:tcPr>
            <w:tcW w:type="dxa" w:w="600"/>
            <w:tcBorders>
              <w:top w:val="single" w:color="D1D5DB" w:sz="1"/>
              <w:left w:val="single" w:color="D1D5DB" w:sz="1"/>
              <w:bottom w:val="single" w:color="D1D5DB" w:sz="1"/>
              <w:right w:val="single" w:color="D1D5DB" w:sz="1"/>
            </w:tcBorders>
            <w:shd w:fill="1A4FA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both"/>
            </w:pPr>
            <w:r>
              <w:rPr>
                <w:rFonts w:ascii="Arial" w:cs="Arial" w:eastAsia="Arial" w:hAnsi="Arial"/>
                <w:b/>
                <w:bCs/>
                <w:color w:val="111827"/>
                <w:sz w:val="20"/>
                <w:szCs w:val="20"/>
              </w:rPr>
              <w:t xml:space="preserve">Simulation run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pPr>
              <w:jc w:val="both"/>
            </w:pPr>
            <w:r>
              <w:rPr>
                <w:rFonts w:ascii="Arial" w:cs="Arial" w:eastAsia="Arial" w:hAnsi="Arial"/>
                <w:color w:val="111827"/>
                <w:sz w:val="20"/>
                <w:szCs w:val="20"/>
              </w:rPr>
              <w:t xml:space="preserve">Coverage probability table across 4 noise levels, 40 trials each — numbers in hand</w:t>
            </w:r>
          </w:p>
        </w:tc>
        <w:tc>
          <w:tcPr>
            <w:tcW w:type="dxa" w:w="1600"/>
            <w:tcBorders>
              <w:top w:val="single" w:color="D1D5DB" w:sz="1"/>
              <w:left w:val="single" w:color="D1D5DB" w:sz="1"/>
              <w:bottom w:val="single" w:color="D1D5DB" w:sz="1"/>
              <w:right w:val="single" w:color="D1D5DB" w:sz="1"/>
            </w:tcBorders>
            <w:shd w:fill="E6F4F3" w:val="clear"/>
            <w:tcMar>
              <w:top w:type="dxa" w:w="80"/>
              <w:left w:type="dxa" w:w="100"/>
              <w:bottom w:type="dxa" w:w="80"/>
              <w:right w:type="dxa" w:w="100"/>
            </w:tcMar>
            <w:vAlign w:val="center"/>
          </w:tcPr>
          <w:p>
            <w:pPr>
              <w:jc w:val="center"/>
            </w:pPr>
            <w:r>
              <w:rPr>
                <w:rFonts w:ascii="Arial" w:cs="Arial" w:eastAsia="Arial" w:hAnsi="Arial"/>
                <w:b/>
                <w:bCs/>
                <w:color w:val="0F766E"/>
                <w:sz w:val="19"/>
                <w:szCs w:val="19"/>
              </w:rPr>
              <w:t xml:space="preserve">Ready</w:t>
            </w:r>
          </w:p>
        </w:tc>
      </w:tr>
      <w:tr>
        <w:tc>
          <w:tcPr>
            <w:tcW w:type="dxa" w:w="600"/>
            <w:tcBorders>
              <w:top w:val="single" w:color="D1D5DB" w:sz="1"/>
              <w:left w:val="single" w:color="D1D5DB" w:sz="1"/>
              <w:bottom w:val="single" w:color="D1D5DB" w:sz="1"/>
              <w:right w:val="single" w:color="D1D5DB" w:sz="1"/>
            </w:tcBorders>
            <w:shd w:fill="1A4FA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both"/>
            </w:pPr>
            <w:r>
              <w:rPr>
                <w:rFonts w:ascii="Arial" w:cs="Arial" w:eastAsia="Arial" w:hAnsi="Arial"/>
                <w:b/>
                <w:bCs/>
                <w:color w:val="111827"/>
                <w:sz w:val="20"/>
                <w:szCs w:val="20"/>
              </w:rPr>
              <w:t xml:space="preserve">Report drafted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pPr>
              <w:jc w:val="both"/>
            </w:pPr>
            <w:r>
              <w:rPr>
                <w:rFonts w:ascii="Arial" w:cs="Arial" w:eastAsia="Arial" w:hAnsi="Arial"/>
                <w:color w:val="111827"/>
                <w:sz w:val="20"/>
                <w:szCs w:val="20"/>
              </w:rPr>
              <w:t xml:space="preserve">All 5 sections written in NeurIPS 2026 .tex template, ≤8 pages</w:t>
            </w:r>
          </w:p>
        </w:tc>
        <w:tc>
          <w:tcPr>
            <w:tcW w:type="dxa" w:w="1600"/>
            <w:tcBorders>
              <w:top w:val="single" w:color="D1D5DB" w:sz="1"/>
              <w:left w:val="single" w:color="D1D5DB" w:sz="1"/>
              <w:bottom w:val="single" w:color="D1D5DB" w:sz="1"/>
              <w:right w:val="single" w:color="D1D5DB" w:sz="1"/>
            </w:tcBorders>
            <w:shd w:fill="E8EFF9" w:val="clear"/>
            <w:tcMar>
              <w:top w:type="dxa" w:w="80"/>
              <w:left w:type="dxa" w:w="100"/>
              <w:bottom w:type="dxa" w:w="80"/>
              <w:right w:type="dxa" w:w="100"/>
            </w:tcMar>
            <w:vAlign w:val="center"/>
          </w:tcPr>
          <w:p>
            <w:pPr>
              <w:jc w:val="center"/>
            </w:pPr>
            <w:r>
              <w:rPr>
                <w:rFonts w:ascii="Arial" w:cs="Arial" w:eastAsia="Arial" w:hAnsi="Arial"/>
                <w:b/>
                <w:bCs/>
                <w:color w:val="1A4FA0"/>
                <w:sz w:val="19"/>
                <w:szCs w:val="19"/>
              </w:rPr>
              <w:t xml:space="preserve">In progress</w:t>
            </w:r>
          </w:p>
        </w:tc>
      </w:tr>
      <w:tr>
        <w:tc>
          <w:tcPr>
            <w:tcW w:type="dxa" w:w="600"/>
            <w:tcBorders>
              <w:top w:val="single" w:color="D1D5DB" w:sz="1"/>
              <w:left w:val="single" w:color="D1D5DB" w:sz="1"/>
              <w:bottom w:val="single" w:color="D1D5DB" w:sz="1"/>
              <w:right w:val="single" w:color="D1D5DB" w:sz="1"/>
            </w:tcBorders>
            <w:shd w:fill="1A4FA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both"/>
            </w:pPr>
            <w:r>
              <w:rPr>
                <w:rFonts w:ascii="Arial" w:cs="Arial" w:eastAsia="Arial" w:hAnsi="Arial"/>
                <w:b/>
                <w:bCs/>
                <w:color w:val="111827"/>
                <w:sz w:val="20"/>
                <w:szCs w:val="20"/>
              </w:rPr>
              <w:t xml:space="preserve">Literature review</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pPr>
              <w:jc w:val="both"/>
            </w:pPr>
            <w:r>
              <w:rPr>
                <w:rFonts w:ascii="Arial" w:cs="Arial" w:eastAsia="Arial" w:hAnsi="Arial"/>
                <w:color w:val="111827"/>
                <w:sz w:val="20"/>
                <w:szCs w:val="20"/>
              </w:rPr>
              <w:t xml:space="preserve">5 core papers synthesized with gap analysis — not just summaries</w:t>
            </w:r>
          </w:p>
        </w:tc>
        <w:tc>
          <w:tcPr>
            <w:tcW w:type="dxa" w:w="1600"/>
            <w:tcBorders>
              <w:top w:val="single" w:color="D1D5DB" w:sz="1"/>
              <w:left w:val="single" w:color="D1D5DB" w:sz="1"/>
              <w:bottom w:val="single" w:color="D1D5DB" w:sz="1"/>
              <w:right w:val="single" w:color="D1D5DB" w:sz="1"/>
            </w:tcBorders>
            <w:shd w:fill="E8EFF9" w:val="clear"/>
            <w:tcMar>
              <w:top w:type="dxa" w:w="80"/>
              <w:left w:type="dxa" w:w="100"/>
              <w:bottom w:type="dxa" w:w="80"/>
              <w:right w:type="dxa" w:w="100"/>
            </w:tcMar>
            <w:vAlign w:val="center"/>
          </w:tcPr>
          <w:p>
            <w:pPr>
              <w:jc w:val="center"/>
            </w:pPr>
            <w:r>
              <w:rPr>
                <w:rFonts w:ascii="Arial" w:cs="Arial" w:eastAsia="Arial" w:hAnsi="Arial"/>
                <w:b/>
                <w:bCs/>
                <w:color w:val="1A4FA0"/>
                <w:sz w:val="19"/>
                <w:szCs w:val="19"/>
              </w:rPr>
              <w:t xml:space="preserve">In progress</w:t>
            </w:r>
          </w:p>
        </w:tc>
      </w:tr>
      <w:tr>
        <w:tc>
          <w:tcPr>
            <w:tcW w:type="dxa" w:w="600"/>
            <w:tcBorders>
              <w:top w:val="single" w:color="D1D5DB" w:sz="1"/>
              <w:left w:val="single" w:color="D1D5DB" w:sz="1"/>
              <w:bottom w:val="single" w:color="D1D5DB" w:sz="1"/>
              <w:right w:val="single" w:color="D1D5DB" w:sz="1"/>
            </w:tcBorders>
            <w:shd w:fill="1A4FA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both"/>
            </w:pPr>
            <w:r>
              <w:rPr>
                <w:rFonts w:ascii="Arial" w:cs="Arial" w:eastAsia="Arial" w:hAnsi="Arial"/>
                <w:b/>
                <w:bCs/>
                <w:color w:val="111827"/>
                <w:sz w:val="20"/>
                <w:szCs w:val="20"/>
              </w:rPr>
              <w:t xml:space="preserve">Figures generated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pPr>
              <w:jc w:val="both"/>
            </w:pPr>
            <w:r>
              <w:rPr>
                <w:rFonts w:ascii="Arial" w:cs="Arial" w:eastAsia="Arial" w:hAnsi="Arial"/>
                <w:color w:val="111827"/>
                <w:sz w:val="20"/>
                <w:szCs w:val="20"/>
              </w:rPr>
              <w:t xml:space="preserve">Coverage probability plot (Std BTL vs Hierarchical BTL) + CI width comparison chart</w:t>
            </w:r>
          </w:p>
        </w:tc>
        <w:tc>
          <w:tcPr>
            <w:tcW w:type="dxa" w:w="1600"/>
            <w:tcBorders>
              <w:top w:val="single" w:color="D1D5DB" w:sz="1"/>
              <w:left w:val="single" w:color="D1D5DB" w:sz="1"/>
              <w:bottom w:val="single" w:color="D1D5DB" w:sz="1"/>
              <w:right w:val="single" w:color="D1D5DB" w:sz="1"/>
            </w:tcBorders>
            <w:shd w:fill="E8EFF9" w:val="clear"/>
            <w:tcMar>
              <w:top w:type="dxa" w:w="80"/>
              <w:left w:type="dxa" w:w="100"/>
              <w:bottom w:type="dxa" w:w="80"/>
              <w:right w:type="dxa" w:w="100"/>
            </w:tcMar>
            <w:vAlign w:val="center"/>
          </w:tcPr>
          <w:p>
            <w:pPr>
              <w:jc w:val="center"/>
            </w:pPr>
            <w:r>
              <w:rPr>
                <w:rFonts w:ascii="Arial" w:cs="Arial" w:eastAsia="Arial" w:hAnsi="Arial"/>
                <w:b/>
                <w:bCs/>
                <w:color w:val="1A4FA0"/>
                <w:sz w:val="19"/>
                <w:szCs w:val="19"/>
              </w:rPr>
              <w:t xml:space="preserve">In progress</w:t>
            </w:r>
          </w:p>
        </w:tc>
      </w:tr>
      <w:tr>
        <w:tc>
          <w:tcPr>
            <w:tcW w:type="dxa" w:w="600"/>
            <w:tcBorders>
              <w:top w:val="single" w:color="D1D5DB" w:sz="1"/>
              <w:left w:val="single" w:color="D1D5DB" w:sz="1"/>
              <w:bottom w:val="single" w:color="D1D5DB" w:sz="1"/>
              <w:right w:val="single" w:color="D1D5DB" w:sz="1"/>
            </w:tcBorders>
            <w:shd w:fill="1A4FA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both"/>
            </w:pPr>
            <w:r>
              <w:rPr>
                <w:rFonts w:ascii="Arial" w:cs="Arial" w:eastAsia="Arial" w:hAnsi="Arial"/>
                <w:b/>
                <w:bCs/>
                <w:color w:val="111827"/>
                <w:sz w:val="20"/>
                <w:szCs w:val="20"/>
              </w:rPr>
              <w:t xml:space="preserve">Presentation built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pPr>
              <w:jc w:val="both"/>
            </w:pPr>
            <w:r>
              <w:rPr>
                <w:rFonts w:ascii="Arial" w:cs="Arial" w:eastAsia="Arial" w:hAnsi="Arial"/>
                <w:color w:val="111827"/>
                <w:sz w:val="20"/>
                <w:szCs w:val="20"/>
              </w:rPr>
              <w:t xml:space="preserve">10-min slide deck with speaker notes, timed run-through</w:t>
            </w:r>
          </w:p>
        </w:tc>
        <w:tc>
          <w:tcPr>
            <w:tcW w:type="dxa" w:w="16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jc w:val="center"/>
            </w:pPr>
            <w:r>
              <w:rPr>
                <w:rFonts w:ascii="Arial" w:cs="Arial" w:eastAsia="Arial" w:hAnsi="Arial"/>
                <w:b/>
                <w:bCs/>
                <w:color w:val="6B7280"/>
                <w:sz w:val="19"/>
                <w:szCs w:val="19"/>
              </w:rPr>
              <w:t xml:space="preserve">Up next</w:t>
            </w:r>
          </w:p>
        </w:tc>
      </w:tr>
      <w:tr>
        <w:tc>
          <w:tcPr>
            <w:tcW w:type="dxa" w:w="600"/>
            <w:tcBorders>
              <w:top w:val="single" w:color="D1D5DB" w:sz="1"/>
              <w:left w:val="single" w:color="D1D5DB" w:sz="1"/>
              <w:bottom w:val="single" w:color="D1D5DB" w:sz="1"/>
              <w:right w:val="single" w:color="D1D5DB" w:sz="1"/>
            </w:tcBorders>
            <w:shd w:fill="1A4FA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8</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00"/>
            </w:tcMar>
          </w:tcPr>
          <w:p>
            <w:pPr>
              <w:jc w:val="both"/>
            </w:pPr>
            <w:r>
              <w:rPr>
                <w:rFonts w:ascii="Arial" w:cs="Arial" w:eastAsia="Arial" w:hAnsi="Arial"/>
                <w:b/>
                <w:bCs/>
                <w:color w:val="111827"/>
                <w:sz w:val="20"/>
                <w:szCs w:val="20"/>
              </w:rPr>
              <w:t xml:space="preserve">Final submission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pPr>
              <w:jc w:val="both"/>
            </w:pPr>
            <w:r>
              <w:rPr>
                <w:rFonts w:ascii="Arial" w:cs="Arial" w:eastAsia="Arial" w:hAnsi="Arial"/>
                <w:color w:val="111827"/>
                <w:sz w:val="20"/>
                <w:szCs w:val="20"/>
              </w:rPr>
              <w:t xml:space="preserve">Team names added, .tex compiled to PDF, submitted on Brightspace by May 1</w:t>
            </w:r>
          </w:p>
        </w:tc>
        <w:tc>
          <w:tcPr>
            <w:tcW w:type="dxa" w:w="16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vAlign w:val="center"/>
          </w:tcPr>
          <w:p>
            <w:pPr>
              <w:jc w:val="center"/>
            </w:pPr>
            <w:r>
              <w:rPr>
                <w:rFonts w:ascii="Arial" w:cs="Arial" w:eastAsia="Arial" w:hAnsi="Arial"/>
                <w:b/>
                <w:bCs/>
                <w:color w:val="6B7280"/>
                <w:sz w:val="19"/>
                <w:szCs w:val="19"/>
              </w:rPr>
              <w:t xml:space="preserve">Up next</w:t>
            </w:r>
          </w:p>
        </w:tc>
      </w:tr>
    </w:tbl>
    <w:p>
      <w:pPr>
        <w:spacing w:after="0" w:before="160"/>
        <w:jc w:val="both"/>
      </w:pPr>
      <w:r>
        <w:rPr>
          <w:rFonts w:ascii="Arial" w:cs="Arial" w:eastAsia="Arial" w:hAnsi="Arial"/>
          <w:color w:val="111827"/>
          <w:sz w:val="22"/>
          <w:szCs w:val="22"/>
        </w:rPr>
        <w:t xml:space="preserve"/>
      </w:r>
    </w:p>
    <w:p>
      <w:pPr>
        <w:pBdr>
          <w:bottom w:val="single" w:color="1A4FA0" w:sz="8" w:space="2"/>
        </w:pBdr>
        <w:spacing w:after="60" w:before="360"/>
      </w:pPr>
      <w:r>
        <w:rPr>
          <w:rFonts w:ascii="Arial" w:cs="Arial" w:eastAsia="Arial" w:hAnsi="Arial"/>
          <w:b/>
          <w:bCs/>
          <w:color w:val="1A4FA0"/>
          <w:sz w:val="30"/>
          <w:szCs w:val="30"/>
        </w:rPr>
        <w:t>08  REPORT STRUCTURE — SECTION BY SECTION</w:t>
      </w:r>
    </w:p>
    <w:p>
      <w:pPr>
        <w:spacing w:after="0" w:before="60"/>
        <w:jc w:val="both"/>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4FA0" w:val="clear"/>
            <w:tcMar>
              <w:top w:type="dxa" w:w="80"/>
              <w:left w:type="dxa" w:w="140"/>
              <w:bottom w:type="dxa" w:w="80"/>
              <w:right w:type="dxa" w:w="100"/>
            </w:tcMar>
          </w:tcPr>
          <w:p>
            <w:pPr>
              <w:jc w:val="both"/>
            </w:pPr>
            <w:r>
              <w:rPr>
                <w:rFonts w:ascii="Arial" w:cs="Arial" w:eastAsia="Arial" w:hAnsi="Arial"/>
                <w:b/>
                <w:bCs/>
                <w:color w:val="FFFFFF"/>
                <w:sz w:val="20"/>
                <w:szCs w:val="20"/>
              </w:rPr>
              <w:t xml:space="preserve">Section</w:t>
            </w:r>
          </w:p>
        </w:tc>
        <w:tc>
          <w:tcPr>
            <w:tcW w:type="dxa" w:w="6160"/>
            <w:tcBorders>
              <w:top w:val="single" w:color="D1D5DB" w:sz="1"/>
              <w:left w:val="single" w:color="D1D5DB" w:sz="1"/>
              <w:bottom w:val="single" w:color="D1D5DB" w:sz="1"/>
              <w:right w:val="single" w:color="D1D5DB" w:sz="1"/>
            </w:tcBorders>
            <w:shd w:fill="E8EFF9" w:val="clear"/>
            <w:tcMar>
              <w:top w:type="dxa" w:w="80"/>
              <w:left w:type="dxa" w:w="140"/>
              <w:bottom w:type="dxa" w:w="80"/>
              <w:right w:type="dxa" w:w="100"/>
            </w:tcMar>
          </w:tcPr>
          <w:p>
            <w:pPr>
              <w:jc w:val="both"/>
            </w:pPr>
            <w:r>
              <w:rPr>
                <w:rFonts w:ascii="Arial" w:cs="Arial" w:eastAsia="Arial" w:hAnsi="Arial"/>
                <w:b/>
                <w:bCs/>
                <w:color w:val="1A4FA0"/>
                <w:sz w:val="20"/>
                <w:szCs w:val="20"/>
              </w:rPr>
              <w:t xml:space="preserve">Content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§1  Introduction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Hook: 2 Elo points, is it real? Problem statement, why standard BTL is misspecified, paper roadmap. (~0.5 pages)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§2  Background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BTL model, MLE estimation, bootstrap CIs, annotator noise in human evaluation. Establishes notation. (~1 page)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§3  Paper Summary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Summary of Judge-Aware Ranking Framework and Quantifying Uncertainty — methodology, findings, and the gap both papers leave open. (~1.5 pages)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§4  New Research Direction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The single research question. Why judge variance is structurally different from sampling variance. Why more battles can't fix it. (~1 page)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§5  Proposed Solution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Hierarchical BTL model derivation. Variance decomposition formula. σ²_judge estimation from within-pair inconsistency. Corrected CI formula. (~1.5 pages)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§6  Literature Review</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BTL extensions, bootstrap CI literature, LLM-as-a-Judge bias papers, Arena critique papers. Gap synthesis. (~1.5 pages)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§7  Simulation Study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Setup, results table, coverage probability analysis, CI width comparison. (~0.5 pages + figures in appendix)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bCs/>
                <w:color w:val="1A4FA0"/>
                <w:sz w:val="20"/>
                <w:szCs w:val="20"/>
              </w:rPr>
              <w:t xml:space="preserve">References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jc w:val="both"/>
            </w:pPr>
            <w:r>
              <w:rPr>
                <w:rFonts w:ascii="Arial" w:cs="Arial" w:eastAsia="Arial" w:hAnsi="Arial"/>
                <w:b w:val="false"/>
                <w:bCs w:val="false"/>
                <w:color w:val="111827"/>
                <w:sz w:val="20"/>
                <w:szCs w:val="20"/>
              </w:rPr>
              <w:t xml:space="preserve">All 5 core papers + supporting citations. Does not count toward 8-page limit.</w:t>
            </w:r>
          </w:p>
        </w:tc>
      </w:tr>
    </w:tbl>
    <w:p>
      <w:pPr>
        <w:spacing w:after="0" w:before="200"/>
        <w:jc w:val="both"/>
      </w:pPr>
      <w:r>
        <w:rPr>
          <w:rFonts w:ascii="Arial" w:cs="Arial" w:eastAsia="Arial" w:hAnsi="Arial"/>
          <w:color w:val="111827"/>
          <w:sz w:val="22"/>
          <w:szCs w:val="22"/>
        </w:rPr>
        <w:t xml:space="preserve"/>
      </w:r>
    </w:p>
    <w:p>
      <w:pPr>
        <w:pBdr>
          <w:top w:val="single" w:color="D1D5DB" w:sz="4" w:space="2"/>
        </w:pBdr>
        <w:spacing w:after="0" w:before="200"/>
        <w:jc w:val="center"/>
      </w:pPr>
      <w:r>
        <w:rPr>
          <w:rFonts w:ascii="Arial" w:cs="Arial" w:eastAsia="Arial" w:hAnsi="Arial"/>
          <w:i/>
          <w:iCs/>
          <w:color w:val="6B7280"/>
          <w:sz w:val="18"/>
          <w:szCs w:val="18"/>
        </w:rPr>
        <w:t xml:space="preserve">MGMT 590 Final Project  ·  Purdue University  ·  Spring 2026  ·  Due May 1,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60" w:hanging="3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2026-04-19T23:34:18.267Z</dcterms:created>
  <dcterms:modified xsi:type="dcterms:W3CDTF">2026-04-19T23:34:18.267Z</dcterms:modified>
</cp:coreProperties>
</file>

<file path=docProps/custom.xml><?xml version="1.0" encoding="utf-8"?>
<Properties xmlns="http://schemas.openxmlformats.org/officeDocument/2006/custom-properties" xmlns:vt="http://schemas.openxmlformats.org/officeDocument/2006/docPropsVTypes"/>
</file>