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8AC7" w14:textId="77777777" w:rsidR="002141A1" w:rsidRDefault="00000000">
      <w:pPr>
        <w:pStyle w:val="Title"/>
      </w:pPr>
      <w:r>
        <w:t>Accrual Anomaly: Empirical Analysis</w:t>
      </w:r>
    </w:p>
    <w:p w14:paraId="39736566" w14:textId="63AC9B7E" w:rsidR="002141A1" w:rsidRDefault="00000000" w:rsidP="00CA3DDE">
      <w:pPr>
        <w:spacing w:after="240"/>
        <w:jc w:val="center"/>
      </w:pPr>
      <w:r>
        <w:rPr>
          <w:b/>
          <w:bCs/>
          <w:sz w:val="28"/>
          <w:szCs w:val="28"/>
        </w:rPr>
        <w:t>Finance Term Project</w:t>
      </w:r>
      <w:sdt>
        <w:sdtPr>
          <w:alias w:val="Table of Contents"/>
          <w:id w:val="-989248746"/>
          <w:showingPlcHdr/>
        </w:sdtPr>
        <w:sdtEndPr/>
        <w:sdtContent>
          <w:r w:rsidR="00CA3DDE">
            <w:t xml:space="preserve">     </w:t>
          </w:r>
        </w:sdtContent>
      </w:sdt>
    </w:p>
    <w:p w14:paraId="1B05DDB6" w14:textId="77777777" w:rsidR="002141A1" w:rsidRDefault="00000000">
      <w:r>
        <w:br w:type="page"/>
      </w:r>
    </w:p>
    <w:p w14:paraId="4B1758EC" w14:textId="77777777" w:rsidR="002141A1" w:rsidRDefault="00000000">
      <w:pPr>
        <w:pStyle w:val="Heading1"/>
      </w:pPr>
      <w:bookmarkStart w:id="0" w:name="_Toc215956838"/>
      <w:r>
        <w:t>1. The Accrual Anomaly</w:t>
      </w:r>
      <w:bookmarkEnd w:id="0"/>
    </w:p>
    <w:p w14:paraId="59BB2C5A" w14:textId="77777777" w:rsidR="002141A1" w:rsidRDefault="00000000">
      <w:pPr>
        <w:spacing w:after="120"/>
      </w:pPr>
      <w:r>
        <w:t>The accrual anomaly represents one of the most robust and persistent anomalies in financial markets. It was first documented by Sloan (1996) in his seminal paper "Do Stock Prices Fully Reflect Information in Accruals and Cash Flows about Future Earnings?" This anomaly challenges the efficient market hypothesis by demonstrating that investors systematically misprice the persistence of earnings components.</w:t>
      </w:r>
    </w:p>
    <w:p w14:paraId="7CA151A2" w14:textId="77777777" w:rsidR="002141A1" w:rsidRDefault="00000000">
      <w:pPr>
        <w:pStyle w:val="Heading2"/>
      </w:pPr>
      <w:bookmarkStart w:id="1" w:name="_Toc215956839"/>
      <w:r>
        <w:t>1.1 What is the Accrual Anomaly?</w:t>
      </w:r>
      <w:bookmarkEnd w:id="1"/>
    </w:p>
    <w:p w14:paraId="53C5A4FE" w14:textId="77777777" w:rsidR="002141A1" w:rsidRDefault="00000000">
      <w:pPr>
        <w:spacing w:after="120"/>
      </w:pPr>
      <w:r>
        <w:t>The accrual anomaly refers to the empirical observation that firms with high accruals (relative to cash flows) tend to earn abnormally low future stock returns, while firms with low accruals tend to earn abnormally high returns. This pattern persists even after controlling for known risk factors, suggesting a market inefficiency in how investors process accounting information.</w:t>
      </w:r>
    </w:p>
    <w:p w14:paraId="605788E7" w14:textId="77777777" w:rsidR="002141A1" w:rsidRDefault="00000000">
      <w:pPr>
        <w:spacing w:after="120"/>
      </w:pPr>
      <w:r>
        <w:rPr>
          <w:b/>
          <w:bCs/>
        </w:rPr>
        <w:t>Key Finding:</w:t>
      </w:r>
      <w:r>
        <w:t xml:space="preserve"> Companies with low accruals (high cash-based earnings) outperform companies with high accruals (low cash-based earnings) by economically significant margins.</w:t>
      </w:r>
    </w:p>
    <w:p w14:paraId="192BDD96" w14:textId="77777777" w:rsidR="002141A1" w:rsidRDefault="00000000">
      <w:pPr>
        <w:pStyle w:val="Heading2"/>
      </w:pPr>
      <w:bookmarkStart w:id="2" w:name="_Toc215956840"/>
      <w:r>
        <w:t>1.2 Measurement of Accruals</w:t>
      </w:r>
      <w:bookmarkEnd w:id="2"/>
    </w:p>
    <w:p w14:paraId="42E08AE6" w14:textId="77777777" w:rsidR="002141A1" w:rsidRDefault="00000000">
      <w:pPr>
        <w:spacing w:after="80"/>
      </w:pPr>
      <w:r>
        <w:t>Accruals are measured as the change in operating working capital scaled by book equity. Specifically, the measure used in this dataset is:</w:t>
      </w:r>
    </w:p>
    <w:p w14:paraId="3B3D775E" w14:textId="77777777" w:rsidR="002141A1" w:rsidRDefault="00000000">
      <w:pPr>
        <w:spacing w:before="80" w:after="80"/>
      </w:pPr>
      <w:r>
        <w:rPr>
          <w:i/>
          <w:iCs/>
        </w:rPr>
        <w:t>AC/B = (Change in operating working capital from t-2 to t-1) / Book equity per share in t-1</w:t>
      </w:r>
    </w:p>
    <w:p w14:paraId="40191482" w14:textId="77777777" w:rsidR="002141A1" w:rsidRDefault="00000000">
      <w:pPr>
        <w:spacing w:after="120"/>
      </w:pPr>
      <w:r>
        <w:t>This ratio captures the extent to which a firm's reported earnings are driven by accrual-based accounting rather than actual cash flows. High accruals may indicate aggressive accounting practices or unsustainable earnings growth, while low accruals typically reflect more conservative, cash-flow-driven earnings.</w:t>
      </w:r>
    </w:p>
    <w:p w14:paraId="1D34A462" w14:textId="77777777" w:rsidR="002141A1" w:rsidRDefault="00000000">
      <w:pPr>
        <w:pStyle w:val="Heading2"/>
      </w:pPr>
      <w:bookmarkStart w:id="3" w:name="_Toc215956841"/>
      <w:r>
        <w:t>1.3 Portfolio Formation</w:t>
      </w:r>
      <w:bookmarkEnd w:id="3"/>
    </w:p>
    <w:p w14:paraId="0792FF53" w14:textId="77777777" w:rsidR="002141A1" w:rsidRDefault="00000000">
      <w:pPr>
        <w:spacing w:after="80"/>
      </w:pPr>
      <w:r>
        <w:t>The accrual portfolios analyzed in this study are constructed using the following methodology:</w:t>
      </w:r>
    </w:p>
    <w:p w14:paraId="2D59BDB7" w14:textId="77777777" w:rsidR="002141A1" w:rsidRDefault="00000000">
      <w:pPr>
        <w:pStyle w:val="ListParagraph"/>
        <w:numPr>
          <w:ilvl w:val="0"/>
          <w:numId w:val="2"/>
        </w:numPr>
      </w:pPr>
      <w:r>
        <w:t>Portfolios are rebalanced annually at the end of June each year</w:t>
      </w:r>
    </w:p>
    <w:p w14:paraId="66CFCF8C" w14:textId="77777777" w:rsidR="002141A1" w:rsidRDefault="00000000">
      <w:pPr>
        <w:pStyle w:val="ListParagraph"/>
        <w:numPr>
          <w:ilvl w:val="0"/>
          <w:numId w:val="2"/>
        </w:numPr>
      </w:pPr>
      <w:r>
        <w:t>Stocks are sorted into deciles based on their accrual ratios (AC/B)</w:t>
      </w:r>
    </w:p>
    <w:p w14:paraId="4D5A254B" w14:textId="77777777" w:rsidR="002141A1" w:rsidRDefault="00000000">
      <w:pPr>
        <w:pStyle w:val="ListParagraph"/>
        <w:numPr>
          <w:ilvl w:val="0"/>
          <w:numId w:val="2"/>
        </w:numPr>
      </w:pPr>
      <w:r>
        <w:t>Decile 1 (Lo10) contains firms with the lowest accruals</w:t>
      </w:r>
    </w:p>
    <w:p w14:paraId="16559C9E" w14:textId="77777777" w:rsidR="002141A1" w:rsidRDefault="00000000">
      <w:pPr>
        <w:pStyle w:val="ListParagraph"/>
        <w:numPr>
          <w:ilvl w:val="0"/>
          <w:numId w:val="2"/>
        </w:numPr>
      </w:pPr>
      <w:r>
        <w:t>Decile 10 (Hi10) contains firms with the highest accruals</w:t>
      </w:r>
    </w:p>
    <w:p w14:paraId="6D66223A" w14:textId="77777777" w:rsidR="002141A1" w:rsidRDefault="00000000">
      <w:pPr>
        <w:pStyle w:val="ListParagraph"/>
        <w:numPr>
          <w:ilvl w:val="0"/>
          <w:numId w:val="2"/>
        </w:numPr>
      </w:pPr>
      <w:r>
        <w:t>Both value-weighted and equal-weighted portfolios are constructed</w:t>
      </w:r>
    </w:p>
    <w:p w14:paraId="023BFA31" w14:textId="77777777" w:rsidR="002141A1" w:rsidRDefault="00000000">
      <w:pPr>
        <w:pStyle w:val="ListParagraph"/>
        <w:numPr>
          <w:ilvl w:val="0"/>
          <w:numId w:val="2"/>
        </w:numPr>
        <w:spacing w:after="120"/>
      </w:pPr>
      <w:r>
        <w:t>The dataset includes utilities and financials in both breakpoints and portfolios</w:t>
      </w:r>
    </w:p>
    <w:p w14:paraId="51F9EBA9" w14:textId="77777777" w:rsidR="002141A1" w:rsidRDefault="00000000">
      <w:pPr>
        <w:pStyle w:val="Heading2"/>
      </w:pPr>
      <w:bookmarkStart w:id="4" w:name="_Toc215956842"/>
      <w:r>
        <w:t>1.4 Previous Research Findings</w:t>
      </w:r>
      <w:bookmarkEnd w:id="4"/>
    </w:p>
    <w:p w14:paraId="7BD2A5A2" w14:textId="77777777" w:rsidR="002141A1" w:rsidRDefault="00000000">
      <w:pPr>
        <w:spacing w:after="120"/>
      </w:pPr>
      <w:r>
        <w:t>Sloan (1996) found that a hedge portfolio long low-accrual stocks and short high-accrual stocks generated abnormal returns of approximately 10% per year. Subsequent research has confirmed the robustness of this anomaly across different time periods, international markets, and with various controls for risk factors. The anomaly is generally attributed to investor overvaluation of the accrual component of earnings and undervaluation of the cash flow component, reflecting a form of earnings fixation.</w:t>
      </w:r>
    </w:p>
    <w:p w14:paraId="5B2936A1" w14:textId="77777777" w:rsidR="002141A1" w:rsidRDefault="00000000">
      <w:pPr>
        <w:spacing w:after="120"/>
      </w:pPr>
      <w:r>
        <w:t>Several explanations have been proposed for the persistence of the accrual anomaly, including: limited investor attention to the cash flow/accrual distinction, transaction costs that prevent full arbitrage, and the possibility that accruals proxy for some unidentified risk factor. However, the anomaly has proven remarkably persistent even as it has become well-known in both academic and practitioner communities.</w:t>
      </w:r>
    </w:p>
    <w:p w14:paraId="5721A537" w14:textId="77777777" w:rsidR="002141A1" w:rsidRDefault="00000000">
      <w:r>
        <w:br w:type="page"/>
      </w:r>
    </w:p>
    <w:p w14:paraId="40CC09F2" w14:textId="77777777" w:rsidR="002141A1" w:rsidRDefault="00000000">
      <w:pPr>
        <w:pStyle w:val="Heading1"/>
      </w:pPr>
      <w:bookmarkStart w:id="5" w:name="_Toc215956843"/>
      <w:r>
        <w:t>2. Data and Methodology</w:t>
      </w:r>
      <w:bookmarkEnd w:id="5"/>
    </w:p>
    <w:p w14:paraId="6EA65005" w14:textId="77777777" w:rsidR="002141A1" w:rsidRDefault="00000000">
      <w:pPr>
        <w:spacing w:after="120"/>
      </w:pPr>
      <w:r>
        <w:t>This analysis utilizes monthly return data for accrual-based portfolio deciles from July 1963 through October 2025, obtained from Kenneth French's Data Library. The dataset provides both value-weighted and equal-weighted returns for decile portfolios based on accrual rankings.</w:t>
      </w:r>
    </w:p>
    <w:p w14:paraId="7D58B81D" w14:textId="77777777" w:rsidR="002141A1" w:rsidRDefault="00000000">
      <w:pPr>
        <w:pStyle w:val="Heading2"/>
      </w:pPr>
      <w:bookmarkStart w:id="6" w:name="_Toc215956844"/>
      <w:r>
        <w:t>2.1 Dataset Description</w:t>
      </w:r>
      <w:bookmarkEnd w:id="6"/>
    </w:p>
    <w:p w14:paraId="4F9C2ABE" w14:textId="77777777" w:rsidR="002141A1" w:rsidRDefault="00000000">
      <w:pPr>
        <w:pStyle w:val="ListParagraph"/>
        <w:numPr>
          <w:ilvl w:val="0"/>
          <w:numId w:val="2"/>
        </w:numPr>
      </w:pPr>
      <w:r>
        <w:t>Sample period: July 1963 to October 2025 (748 months)</w:t>
      </w:r>
    </w:p>
    <w:p w14:paraId="35209EC1" w14:textId="77777777" w:rsidR="002141A1" w:rsidRDefault="00000000">
      <w:pPr>
        <w:pStyle w:val="ListParagraph"/>
        <w:numPr>
          <w:ilvl w:val="0"/>
          <w:numId w:val="2"/>
        </w:numPr>
      </w:pPr>
      <w:r>
        <w:t>Portfolio weighting: Both value-weighted (VW) and equal-weighted (EW)</w:t>
      </w:r>
    </w:p>
    <w:p w14:paraId="3F7722E3" w14:textId="77777777" w:rsidR="002141A1" w:rsidRDefault="00000000">
      <w:pPr>
        <w:pStyle w:val="ListParagraph"/>
        <w:numPr>
          <w:ilvl w:val="0"/>
          <w:numId w:val="2"/>
        </w:numPr>
      </w:pPr>
      <w:r>
        <w:t>Number of portfolios: 10 deciles plus spread portfolio</w:t>
      </w:r>
    </w:p>
    <w:p w14:paraId="588230F6" w14:textId="77777777" w:rsidR="002141A1" w:rsidRDefault="00000000">
      <w:pPr>
        <w:pStyle w:val="ListParagraph"/>
        <w:numPr>
          <w:ilvl w:val="0"/>
          <w:numId w:val="2"/>
        </w:numPr>
      </w:pPr>
      <w:r>
        <w:t>Return units: Monthly returns converted from percentages to decimals</w:t>
      </w:r>
    </w:p>
    <w:p w14:paraId="159D26AF" w14:textId="77777777" w:rsidR="002141A1" w:rsidRDefault="00000000">
      <w:pPr>
        <w:pStyle w:val="ListParagraph"/>
        <w:numPr>
          <w:ilvl w:val="0"/>
          <w:numId w:val="2"/>
        </w:numPr>
        <w:spacing w:after="120"/>
      </w:pPr>
      <w:r>
        <w:t>Spread portfolio: Hi10 - Lo10 (high accruals minus low accruals)</w:t>
      </w:r>
    </w:p>
    <w:p w14:paraId="48E1CED5" w14:textId="77777777" w:rsidR="002141A1" w:rsidRDefault="00000000">
      <w:pPr>
        <w:pStyle w:val="Heading2"/>
      </w:pPr>
      <w:bookmarkStart w:id="7" w:name="_Toc215956845"/>
      <w:r>
        <w:t>2.2 Empirical Tests Conducted</w:t>
      </w:r>
      <w:bookmarkEnd w:id="7"/>
    </w:p>
    <w:p w14:paraId="19C89141" w14:textId="77777777" w:rsidR="002141A1" w:rsidRDefault="00000000">
      <w:pPr>
        <w:spacing w:after="80"/>
      </w:pPr>
      <w:r>
        <w:t>This study conducts four main categories of empirical analysis:</w:t>
      </w:r>
    </w:p>
    <w:p w14:paraId="3E793637" w14:textId="77777777" w:rsidR="002141A1" w:rsidRDefault="00000000">
      <w:pPr>
        <w:spacing w:before="80" w:after="80"/>
      </w:pPr>
      <w:r>
        <w:rPr>
          <w:b/>
          <w:bCs/>
        </w:rPr>
        <w:t>1. Full Sample Summary Statistics:</w:t>
      </w:r>
    </w:p>
    <w:p w14:paraId="4B21C062" w14:textId="77777777" w:rsidR="002141A1" w:rsidRDefault="00000000">
      <w:pPr>
        <w:pStyle w:val="ListParagraph"/>
        <w:numPr>
          <w:ilvl w:val="0"/>
          <w:numId w:val="2"/>
        </w:numPr>
      </w:pPr>
      <w:r>
        <w:t>Mean returns and standard deviations for all deciles</w:t>
      </w:r>
    </w:p>
    <w:p w14:paraId="68DE58B9" w14:textId="77777777" w:rsidR="002141A1" w:rsidRDefault="00000000">
      <w:pPr>
        <w:pStyle w:val="ListParagraph"/>
        <w:numPr>
          <w:ilvl w:val="0"/>
          <w:numId w:val="2"/>
        </w:numPr>
      </w:pPr>
      <w:r>
        <w:t>Sharpe ratios for each portfolio</w:t>
      </w:r>
    </w:p>
    <w:p w14:paraId="34FEAB57" w14:textId="77777777" w:rsidR="002141A1" w:rsidRDefault="00000000">
      <w:pPr>
        <w:pStyle w:val="ListParagraph"/>
        <w:numPr>
          <w:ilvl w:val="0"/>
          <w:numId w:val="2"/>
        </w:numPr>
        <w:spacing w:after="80"/>
      </w:pPr>
      <w:r>
        <w:t>Statistical significance tests for the spread portfolio</w:t>
      </w:r>
    </w:p>
    <w:p w14:paraId="2900054B" w14:textId="77777777" w:rsidR="002141A1" w:rsidRDefault="00000000">
      <w:pPr>
        <w:spacing w:before="80" w:after="80"/>
      </w:pPr>
      <w:r>
        <w:rPr>
          <w:b/>
          <w:bCs/>
        </w:rPr>
        <w:t>2. Sub-Period Analysis:</w:t>
      </w:r>
    </w:p>
    <w:p w14:paraId="00D7DC2D" w14:textId="77777777" w:rsidR="002141A1" w:rsidRDefault="00000000">
      <w:pPr>
        <w:pStyle w:val="ListParagraph"/>
        <w:numPr>
          <w:ilvl w:val="0"/>
          <w:numId w:val="2"/>
        </w:numPr>
      </w:pPr>
      <w:r>
        <w:t>Decade-by-decade performance (1960s through 2010s)</w:t>
      </w:r>
    </w:p>
    <w:p w14:paraId="74265A39" w14:textId="77777777" w:rsidR="002141A1" w:rsidRDefault="00000000">
      <w:pPr>
        <w:pStyle w:val="ListParagraph"/>
        <w:numPr>
          <w:ilvl w:val="0"/>
          <w:numId w:val="2"/>
        </w:numPr>
        <w:spacing w:after="80"/>
      </w:pPr>
      <w:r>
        <w:t>Recession vs. expansion period comparison</w:t>
      </w:r>
    </w:p>
    <w:p w14:paraId="7E603F88" w14:textId="77777777" w:rsidR="002141A1" w:rsidRDefault="00000000">
      <w:pPr>
        <w:spacing w:before="80" w:after="80"/>
      </w:pPr>
      <w:r>
        <w:rPr>
          <w:b/>
          <w:bCs/>
        </w:rPr>
        <w:t>3. Time Series Analysis:</w:t>
      </w:r>
    </w:p>
    <w:p w14:paraId="4D722F54" w14:textId="77777777" w:rsidR="002141A1" w:rsidRDefault="00000000">
      <w:pPr>
        <w:pStyle w:val="ListParagraph"/>
        <w:numPr>
          <w:ilvl w:val="0"/>
          <w:numId w:val="2"/>
        </w:numPr>
      </w:pPr>
      <w:r>
        <w:t>Monthly return plots for extreme deciles</w:t>
      </w:r>
    </w:p>
    <w:p w14:paraId="308E8B26" w14:textId="77777777" w:rsidR="002141A1" w:rsidRDefault="00000000">
      <w:pPr>
        <w:pStyle w:val="ListParagraph"/>
        <w:numPr>
          <w:ilvl w:val="0"/>
          <w:numId w:val="2"/>
        </w:numPr>
        <w:spacing w:after="80"/>
      </w:pPr>
      <w:r>
        <w:t>Spread portfolio performance over time with recession indicators</w:t>
      </w:r>
    </w:p>
    <w:p w14:paraId="677CFE47" w14:textId="77777777" w:rsidR="002141A1" w:rsidRDefault="00000000">
      <w:pPr>
        <w:spacing w:before="80" w:after="120"/>
      </w:pPr>
      <w:r>
        <w:rPr>
          <w:b/>
          <w:bCs/>
        </w:rPr>
        <w:t>4. Additional Tests:</w:t>
      </w:r>
    </w:p>
    <w:p w14:paraId="4133E2F4" w14:textId="77777777" w:rsidR="002141A1" w:rsidRDefault="00000000">
      <w:pPr>
        <w:pStyle w:val="ListParagraph"/>
        <w:numPr>
          <w:ilvl w:val="0"/>
          <w:numId w:val="2"/>
        </w:numPr>
      </w:pPr>
      <w:r>
        <w:t>January effect analysis</w:t>
      </w:r>
    </w:p>
    <w:p w14:paraId="7E967976" w14:textId="77777777" w:rsidR="002141A1" w:rsidRDefault="00000000">
      <w:pPr>
        <w:pStyle w:val="ListParagraph"/>
        <w:numPr>
          <w:ilvl w:val="0"/>
          <w:numId w:val="2"/>
        </w:numPr>
        <w:spacing w:after="120"/>
      </w:pPr>
      <w:r>
        <w:t>Cumulative return comparison</w:t>
      </w:r>
    </w:p>
    <w:p w14:paraId="6DBEA75D" w14:textId="77777777" w:rsidR="002141A1" w:rsidRDefault="00000000">
      <w:r>
        <w:br w:type="page"/>
      </w:r>
    </w:p>
    <w:p w14:paraId="46279298" w14:textId="77777777" w:rsidR="002141A1" w:rsidRDefault="00000000">
      <w:pPr>
        <w:pStyle w:val="Heading1"/>
      </w:pPr>
      <w:bookmarkStart w:id="8" w:name="_Toc215956846"/>
      <w:r>
        <w:t>3. Empirical Results</w:t>
      </w:r>
      <w:bookmarkEnd w:id="8"/>
    </w:p>
    <w:p w14:paraId="772FBC23" w14:textId="77777777" w:rsidR="002141A1" w:rsidRDefault="00000000">
      <w:pPr>
        <w:pStyle w:val="Heading2"/>
      </w:pPr>
      <w:bookmarkStart w:id="9" w:name="_Toc215956847"/>
      <w:r>
        <w:t>3.1 Full Sample Summary Statistics</w:t>
      </w:r>
      <w:bookmarkEnd w:id="9"/>
    </w:p>
    <w:p w14:paraId="7D5192A2" w14:textId="77777777" w:rsidR="002141A1" w:rsidRDefault="00000000">
      <w:pPr>
        <w:spacing w:after="120"/>
      </w:pPr>
      <w:r>
        <w:t>Table 1 presents the summary statistics for value-weighted portfolios over the entire sample period from July 1963 to October 2025.</w:t>
      </w:r>
    </w:p>
    <w:p w14:paraId="3D733DDF" w14:textId="77777777" w:rsidR="002141A1" w:rsidRDefault="00000000">
      <w:pPr>
        <w:spacing w:before="120" w:after="80"/>
        <w:jc w:val="center"/>
      </w:pPr>
      <w:r>
        <w:rPr>
          <w:b/>
          <w:bCs/>
        </w:rPr>
        <w:t>Table 1: Value-Weighted Portfolio Summary Statistics</w:t>
      </w:r>
    </w:p>
    <w:tbl>
      <w:tblPr>
        <w:tblW w:w="100" w:type="auto"/>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400"/>
        <w:gridCol w:w="1200"/>
        <w:gridCol w:w="1200"/>
        <w:gridCol w:w="1200"/>
      </w:tblGrid>
      <w:tr w:rsidR="002141A1" w14:paraId="36863649" w14:textId="77777777">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3D3D3"/>
          </w:tcPr>
          <w:p w14:paraId="091978F2" w14:textId="77777777" w:rsidR="002141A1" w:rsidRDefault="00000000">
            <w:pPr>
              <w:jc w:val="center"/>
            </w:pPr>
            <w:r>
              <w:rPr>
                <w:b/>
                <w:bCs/>
                <w:sz w:val="20"/>
                <w:szCs w:val="20"/>
              </w:rPr>
              <w:t>Portfolio</w:t>
            </w:r>
          </w:p>
        </w:tc>
        <w:tc>
          <w:tcPr>
            <w:tcW w:w="1200" w:type="dxa"/>
            <w:tcBorders>
              <w:top w:val="single" w:sz="1" w:space="0" w:color="000000"/>
              <w:left w:val="single" w:sz="1" w:space="0" w:color="000000"/>
              <w:bottom w:val="single" w:sz="1" w:space="0" w:color="000000"/>
              <w:right w:val="single" w:sz="1" w:space="0" w:color="000000"/>
            </w:tcBorders>
            <w:shd w:val="clear" w:color="auto" w:fill="D3D3D3"/>
          </w:tcPr>
          <w:p w14:paraId="314182BA" w14:textId="77777777" w:rsidR="002141A1" w:rsidRDefault="00000000">
            <w:pPr>
              <w:jc w:val="center"/>
            </w:pPr>
            <w:r>
              <w:rPr>
                <w:b/>
                <w:bCs/>
                <w:sz w:val="20"/>
                <w:szCs w:val="20"/>
              </w:rPr>
              <w:t>Mean (%)</w:t>
            </w:r>
          </w:p>
        </w:tc>
        <w:tc>
          <w:tcPr>
            <w:tcW w:w="1200" w:type="dxa"/>
            <w:tcBorders>
              <w:top w:val="single" w:sz="1" w:space="0" w:color="000000"/>
              <w:left w:val="single" w:sz="1" w:space="0" w:color="000000"/>
              <w:bottom w:val="single" w:sz="1" w:space="0" w:color="000000"/>
              <w:right w:val="single" w:sz="1" w:space="0" w:color="000000"/>
            </w:tcBorders>
            <w:shd w:val="clear" w:color="auto" w:fill="D3D3D3"/>
          </w:tcPr>
          <w:p w14:paraId="3940F6DB" w14:textId="77777777" w:rsidR="002141A1" w:rsidRDefault="00000000">
            <w:pPr>
              <w:jc w:val="center"/>
            </w:pPr>
            <w:r>
              <w:rPr>
                <w:b/>
                <w:bCs/>
                <w:sz w:val="20"/>
                <w:szCs w:val="20"/>
              </w:rPr>
              <w:t>Std Dev (%)</w:t>
            </w:r>
          </w:p>
        </w:tc>
        <w:tc>
          <w:tcPr>
            <w:tcW w:w="1200" w:type="dxa"/>
            <w:tcBorders>
              <w:top w:val="single" w:sz="1" w:space="0" w:color="000000"/>
              <w:left w:val="single" w:sz="1" w:space="0" w:color="000000"/>
              <w:bottom w:val="single" w:sz="1" w:space="0" w:color="000000"/>
              <w:right w:val="single" w:sz="1" w:space="0" w:color="000000"/>
            </w:tcBorders>
            <w:shd w:val="clear" w:color="auto" w:fill="D3D3D3"/>
          </w:tcPr>
          <w:p w14:paraId="0C4B0EDF" w14:textId="77777777" w:rsidR="002141A1" w:rsidRDefault="00000000">
            <w:pPr>
              <w:jc w:val="center"/>
            </w:pPr>
            <w:r>
              <w:rPr>
                <w:b/>
                <w:bCs/>
                <w:sz w:val="20"/>
                <w:szCs w:val="20"/>
              </w:rPr>
              <w:t>Sharpe Ratio</w:t>
            </w:r>
          </w:p>
        </w:tc>
      </w:tr>
      <w:tr w:rsidR="002141A1" w14:paraId="19B29E7C" w14:textId="77777777">
        <w:tc>
          <w:tcPr>
            <w:tcW w:w="1400" w:type="dxa"/>
            <w:tcBorders>
              <w:top w:val="single" w:sz="1" w:space="0" w:color="000000"/>
              <w:left w:val="single" w:sz="1" w:space="0" w:color="000000"/>
              <w:bottom w:val="single" w:sz="1" w:space="0" w:color="000000"/>
              <w:right w:val="single" w:sz="1" w:space="0" w:color="000000"/>
            </w:tcBorders>
          </w:tcPr>
          <w:p w14:paraId="55DD6DFA" w14:textId="77777777" w:rsidR="002141A1" w:rsidRDefault="00000000">
            <w:r>
              <w:rPr>
                <w:sz w:val="20"/>
                <w:szCs w:val="20"/>
              </w:rPr>
              <w:t>Lo10 (Low Accrual)</w:t>
            </w:r>
          </w:p>
        </w:tc>
        <w:tc>
          <w:tcPr>
            <w:tcW w:w="1200" w:type="dxa"/>
            <w:tcBorders>
              <w:top w:val="single" w:sz="1" w:space="0" w:color="000000"/>
              <w:left w:val="single" w:sz="1" w:space="0" w:color="000000"/>
              <w:bottom w:val="single" w:sz="1" w:space="0" w:color="000000"/>
              <w:right w:val="single" w:sz="1" w:space="0" w:color="000000"/>
            </w:tcBorders>
          </w:tcPr>
          <w:p w14:paraId="2AD0F965" w14:textId="77777777" w:rsidR="002141A1" w:rsidRDefault="00000000">
            <w:pPr>
              <w:jc w:val="right"/>
            </w:pPr>
            <w:r>
              <w:rPr>
                <w:sz w:val="20"/>
                <w:szCs w:val="20"/>
              </w:rPr>
              <w:t>13.45</w:t>
            </w:r>
          </w:p>
        </w:tc>
        <w:tc>
          <w:tcPr>
            <w:tcW w:w="1200" w:type="dxa"/>
            <w:tcBorders>
              <w:top w:val="single" w:sz="1" w:space="0" w:color="000000"/>
              <w:left w:val="single" w:sz="1" w:space="0" w:color="000000"/>
              <w:bottom w:val="single" w:sz="1" w:space="0" w:color="000000"/>
              <w:right w:val="single" w:sz="1" w:space="0" w:color="000000"/>
            </w:tcBorders>
          </w:tcPr>
          <w:p w14:paraId="2DFC6EE9" w14:textId="77777777" w:rsidR="002141A1" w:rsidRDefault="00000000">
            <w:pPr>
              <w:jc w:val="right"/>
            </w:pPr>
            <w:r>
              <w:rPr>
                <w:sz w:val="20"/>
                <w:szCs w:val="20"/>
              </w:rPr>
              <w:t>19.21</w:t>
            </w:r>
          </w:p>
        </w:tc>
        <w:tc>
          <w:tcPr>
            <w:tcW w:w="1200" w:type="dxa"/>
            <w:tcBorders>
              <w:top w:val="single" w:sz="1" w:space="0" w:color="000000"/>
              <w:left w:val="single" w:sz="1" w:space="0" w:color="000000"/>
              <w:bottom w:val="single" w:sz="1" w:space="0" w:color="000000"/>
              <w:right w:val="single" w:sz="1" w:space="0" w:color="000000"/>
            </w:tcBorders>
          </w:tcPr>
          <w:p w14:paraId="4837A49B" w14:textId="77777777" w:rsidR="002141A1" w:rsidRDefault="00000000">
            <w:pPr>
              <w:jc w:val="right"/>
            </w:pPr>
            <w:r>
              <w:rPr>
                <w:sz w:val="20"/>
                <w:szCs w:val="20"/>
              </w:rPr>
              <w:t>0.70</w:t>
            </w:r>
          </w:p>
        </w:tc>
      </w:tr>
      <w:tr w:rsidR="002141A1" w14:paraId="4F89D141" w14:textId="77777777">
        <w:tc>
          <w:tcPr>
            <w:tcW w:w="1400" w:type="dxa"/>
            <w:tcBorders>
              <w:top w:val="single" w:sz="1" w:space="0" w:color="000000"/>
              <w:left w:val="single" w:sz="1" w:space="0" w:color="000000"/>
              <w:bottom w:val="single" w:sz="1" w:space="0" w:color="000000"/>
              <w:right w:val="single" w:sz="1" w:space="0" w:color="000000"/>
            </w:tcBorders>
          </w:tcPr>
          <w:p w14:paraId="7476BC28" w14:textId="77777777" w:rsidR="002141A1" w:rsidRDefault="00000000">
            <w:r>
              <w:rPr>
                <w:sz w:val="20"/>
                <w:szCs w:val="20"/>
              </w:rPr>
              <w:t>Hi10 (High Accrual)</w:t>
            </w:r>
          </w:p>
        </w:tc>
        <w:tc>
          <w:tcPr>
            <w:tcW w:w="1200" w:type="dxa"/>
            <w:tcBorders>
              <w:top w:val="single" w:sz="1" w:space="0" w:color="000000"/>
              <w:left w:val="single" w:sz="1" w:space="0" w:color="000000"/>
              <w:bottom w:val="single" w:sz="1" w:space="0" w:color="000000"/>
              <w:right w:val="single" w:sz="1" w:space="0" w:color="000000"/>
            </w:tcBorders>
          </w:tcPr>
          <w:p w14:paraId="0A1D44D1" w14:textId="77777777" w:rsidR="002141A1" w:rsidRDefault="00000000">
            <w:pPr>
              <w:jc w:val="right"/>
            </w:pPr>
            <w:r>
              <w:rPr>
                <w:sz w:val="20"/>
                <w:szCs w:val="20"/>
              </w:rPr>
              <w:t>9.88</w:t>
            </w:r>
          </w:p>
        </w:tc>
        <w:tc>
          <w:tcPr>
            <w:tcW w:w="1200" w:type="dxa"/>
            <w:tcBorders>
              <w:top w:val="single" w:sz="1" w:space="0" w:color="000000"/>
              <w:left w:val="single" w:sz="1" w:space="0" w:color="000000"/>
              <w:bottom w:val="single" w:sz="1" w:space="0" w:color="000000"/>
              <w:right w:val="single" w:sz="1" w:space="0" w:color="000000"/>
            </w:tcBorders>
          </w:tcPr>
          <w:p w14:paraId="1FE5CA30" w14:textId="77777777" w:rsidR="002141A1" w:rsidRDefault="00000000">
            <w:pPr>
              <w:jc w:val="right"/>
            </w:pPr>
            <w:r>
              <w:rPr>
                <w:sz w:val="20"/>
                <w:szCs w:val="20"/>
              </w:rPr>
              <w:t>20.22</w:t>
            </w:r>
          </w:p>
        </w:tc>
        <w:tc>
          <w:tcPr>
            <w:tcW w:w="1200" w:type="dxa"/>
            <w:tcBorders>
              <w:top w:val="single" w:sz="1" w:space="0" w:color="000000"/>
              <w:left w:val="single" w:sz="1" w:space="0" w:color="000000"/>
              <w:bottom w:val="single" w:sz="1" w:space="0" w:color="000000"/>
              <w:right w:val="single" w:sz="1" w:space="0" w:color="000000"/>
            </w:tcBorders>
          </w:tcPr>
          <w:p w14:paraId="4D8A591F" w14:textId="77777777" w:rsidR="002141A1" w:rsidRDefault="00000000">
            <w:pPr>
              <w:jc w:val="right"/>
            </w:pPr>
            <w:r>
              <w:rPr>
                <w:sz w:val="20"/>
                <w:szCs w:val="20"/>
              </w:rPr>
              <w:t>0.49</w:t>
            </w:r>
          </w:p>
        </w:tc>
      </w:tr>
      <w:tr w:rsidR="002141A1" w14:paraId="2A7FC465" w14:textId="77777777">
        <w:tc>
          <w:tcPr>
            <w:tcW w:w="1400" w:type="dxa"/>
            <w:tcBorders>
              <w:top w:val="single" w:sz="1" w:space="0" w:color="000000"/>
              <w:left w:val="single" w:sz="1" w:space="0" w:color="000000"/>
              <w:bottom w:val="single" w:sz="1" w:space="0" w:color="000000"/>
              <w:right w:val="single" w:sz="1" w:space="0" w:color="000000"/>
            </w:tcBorders>
            <w:shd w:val="clear" w:color="auto" w:fill="F0F0F0"/>
          </w:tcPr>
          <w:p w14:paraId="752D8007" w14:textId="77777777" w:rsidR="002141A1" w:rsidRDefault="00000000">
            <w:r>
              <w:rPr>
                <w:b/>
                <w:bCs/>
                <w:sz w:val="20"/>
                <w:szCs w:val="20"/>
              </w:rPr>
              <w:t>Spread (Hi10 - Lo10)</w:t>
            </w:r>
          </w:p>
        </w:tc>
        <w:tc>
          <w:tcPr>
            <w:tcW w:w="1200" w:type="dxa"/>
            <w:tcBorders>
              <w:top w:val="single" w:sz="1" w:space="0" w:color="000000"/>
              <w:left w:val="single" w:sz="1" w:space="0" w:color="000000"/>
              <w:bottom w:val="single" w:sz="1" w:space="0" w:color="000000"/>
              <w:right w:val="single" w:sz="1" w:space="0" w:color="000000"/>
            </w:tcBorders>
            <w:shd w:val="clear" w:color="auto" w:fill="F0F0F0"/>
          </w:tcPr>
          <w:p w14:paraId="6D958F71" w14:textId="77777777" w:rsidR="002141A1" w:rsidRDefault="00000000">
            <w:pPr>
              <w:jc w:val="right"/>
            </w:pPr>
            <w:r>
              <w:rPr>
                <w:b/>
                <w:bCs/>
                <w:sz w:val="20"/>
                <w:szCs w:val="20"/>
              </w:rPr>
              <w:t>-3.57</w:t>
            </w:r>
          </w:p>
        </w:tc>
        <w:tc>
          <w:tcPr>
            <w:tcW w:w="1200" w:type="dxa"/>
            <w:tcBorders>
              <w:top w:val="single" w:sz="1" w:space="0" w:color="000000"/>
              <w:left w:val="single" w:sz="1" w:space="0" w:color="000000"/>
              <w:bottom w:val="single" w:sz="1" w:space="0" w:color="000000"/>
              <w:right w:val="single" w:sz="1" w:space="0" w:color="000000"/>
            </w:tcBorders>
            <w:shd w:val="clear" w:color="auto" w:fill="F0F0F0"/>
          </w:tcPr>
          <w:p w14:paraId="1DACC87B" w14:textId="77777777" w:rsidR="002141A1" w:rsidRDefault="00000000">
            <w:pPr>
              <w:jc w:val="right"/>
            </w:pPr>
            <w:r>
              <w:rPr>
                <w:b/>
                <w:bCs/>
                <w:sz w:val="20"/>
                <w:szCs w:val="20"/>
              </w:rPr>
              <w:t>10.06</w:t>
            </w:r>
          </w:p>
        </w:tc>
        <w:tc>
          <w:tcPr>
            <w:tcW w:w="1200" w:type="dxa"/>
            <w:tcBorders>
              <w:top w:val="single" w:sz="1" w:space="0" w:color="000000"/>
              <w:left w:val="single" w:sz="1" w:space="0" w:color="000000"/>
              <w:bottom w:val="single" w:sz="1" w:space="0" w:color="000000"/>
              <w:right w:val="single" w:sz="1" w:space="0" w:color="000000"/>
            </w:tcBorders>
            <w:shd w:val="clear" w:color="auto" w:fill="F0F0F0"/>
          </w:tcPr>
          <w:p w14:paraId="0893D5DA" w14:textId="77777777" w:rsidR="002141A1" w:rsidRDefault="00000000">
            <w:pPr>
              <w:jc w:val="right"/>
            </w:pPr>
            <w:r>
              <w:rPr>
                <w:b/>
                <w:bCs/>
                <w:sz w:val="20"/>
                <w:szCs w:val="20"/>
              </w:rPr>
              <w:t>-0.35</w:t>
            </w:r>
          </w:p>
        </w:tc>
      </w:tr>
    </w:tbl>
    <w:p w14:paraId="029E1303" w14:textId="77777777" w:rsidR="002141A1" w:rsidRDefault="00000000">
      <w:pPr>
        <w:spacing w:before="40" w:after="120"/>
        <w:jc w:val="center"/>
      </w:pPr>
      <w:r>
        <w:rPr>
          <w:i/>
          <w:iCs/>
          <w:sz w:val="20"/>
          <w:szCs w:val="20"/>
        </w:rPr>
        <w:t>t-statistic for Spread: -2.80</w:t>
      </w:r>
    </w:p>
    <w:p w14:paraId="054C1609" w14:textId="77777777" w:rsidR="002141A1" w:rsidRDefault="00000000">
      <w:pPr>
        <w:spacing w:after="120"/>
      </w:pPr>
      <w:r>
        <w:t>Table 2 presents the summary statistics for equal-weighted portfolios over the same period.</w:t>
      </w:r>
    </w:p>
    <w:p w14:paraId="52F616BC" w14:textId="77777777" w:rsidR="002141A1" w:rsidRDefault="00000000">
      <w:pPr>
        <w:spacing w:before="120" w:after="80"/>
        <w:jc w:val="center"/>
      </w:pPr>
      <w:r>
        <w:rPr>
          <w:b/>
          <w:bCs/>
        </w:rPr>
        <w:t>Table 2: Equal-Weighted Portfolio Summary Statistics</w:t>
      </w:r>
    </w:p>
    <w:tbl>
      <w:tblPr>
        <w:tblW w:w="100" w:type="auto"/>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1400"/>
        <w:gridCol w:w="1200"/>
        <w:gridCol w:w="1200"/>
        <w:gridCol w:w="1200"/>
      </w:tblGrid>
      <w:tr w:rsidR="002141A1" w14:paraId="08958A26" w14:textId="77777777">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3D3D3"/>
          </w:tcPr>
          <w:p w14:paraId="45D3155C" w14:textId="77777777" w:rsidR="002141A1" w:rsidRDefault="00000000">
            <w:pPr>
              <w:jc w:val="center"/>
            </w:pPr>
            <w:r>
              <w:rPr>
                <w:b/>
                <w:bCs/>
                <w:sz w:val="20"/>
                <w:szCs w:val="20"/>
              </w:rPr>
              <w:t>Portfolio</w:t>
            </w:r>
          </w:p>
        </w:tc>
        <w:tc>
          <w:tcPr>
            <w:tcW w:w="1200" w:type="dxa"/>
            <w:tcBorders>
              <w:top w:val="single" w:sz="1" w:space="0" w:color="000000"/>
              <w:left w:val="single" w:sz="1" w:space="0" w:color="000000"/>
              <w:bottom w:val="single" w:sz="1" w:space="0" w:color="000000"/>
              <w:right w:val="single" w:sz="1" w:space="0" w:color="000000"/>
            </w:tcBorders>
            <w:shd w:val="clear" w:color="auto" w:fill="D3D3D3"/>
          </w:tcPr>
          <w:p w14:paraId="4DE74AA1" w14:textId="77777777" w:rsidR="002141A1" w:rsidRDefault="00000000">
            <w:pPr>
              <w:jc w:val="center"/>
            </w:pPr>
            <w:r>
              <w:rPr>
                <w:b/>
                <w:bCs/>
                <w:sz w:val="20"/>
                <w:szCs w:val="20"/>
              </w:rPr>
              <w:t>Mean (%)</w:t>
            </w:r>
          </w:p>
        </w:tc>
        <w:tc>
          <w:tcPr>
            <w:tcW w:w="1200" w:type="dxa"/>
            <w:tcBorders>
              <w:top w:val="single" w:sz="1" w:space="0" w:color="000000"/>
              <w:left w:val="single" w:sz="1" w:space="0" w:color="000000"/>
              <w:bottom w:val="single" w:sz="1" w:space="0" w:color="000000"/>
              <w:right w:val="single" w:sz="1" w:space="0" w:color="000000"/>
            </w:tcBorders>
            <w:shd w:val="clear" w:color="auto" w:fill="D3D3D3"/>
          </w:tcPr>
          <w:p w14:paraId="3D26E505" w14:textId="77777777" w:rsidR="002141A1" w:rsidRDefault="00000000">
            <w:pPr>
              <w:jc w:val="center"/>
            </w:pPr>
            <w:r>
              <w:rPr>
                <w:b/>
                <w:bCs/>
                <w:sz w:val="20"/>
                <w:szCs w:val="20"/>
              </w:rPr>
              <w:t>Std Dev (%)</w:t>
            </w:r>
          </w:p>
        </w:tc>
        <w:tc>
          <w:tcPr>
            <w:tcW w:w="1200" w:type="dxa"/>
            <w:tcBorders>
              <w:top w:val="single" w:sz="1" w:space="0" w:color="000000"/>
              <w:left w:val="single" w:sz="1" w:space="0" w:color="000000"/>
              <w:bottom w:val="single" w:sz="1" w:space="0" w:color="000000"/>
              <w:right w:val="single" w:sz="1" w:space="0" w:color="000000"/>
            </w:tcBorders>
            <w:shd w:val="clear" w:color="auto" w:fill="D3D3D3"/>
          </w:tcPr>
          <w:p w14:paraId="182CC530" w14:textId="77777777" w:rsidR="002141A1" w:rsidRDefault="00000000">
            <w:pPr>
              <w:jc w:val="center"/>
            </w:pPr>
            <w:r>
              <w:rPr>
                <w:b/>
                <w:bCs/>
                <w:sz w:val="20"/>
                <w:szCs w:val="20"/>
              </w:rPr>
              <w:t>Sharpe Ratio</w:t>
            </w:r>
          </w:p>
        </w:tc>
      </w:tr>
      <w:tr w:rsidR="002141A1" w14:paraId="6B7EF144" w14:textId="77777777">
        <w:tc>
          <w:tcPr>
            <w:tcW w:w="1400" w:type="dxa"/>
            <w:tcBorders>
              <w:top w:val="single" w:sz="1" w:space="0" w:color="000000"/>
              <w:left w:val="single" w:sz="1" w:space="0" w:color="000000"/>
              <w:bottom w:val="single" w:sz="1" w:space="0" w:color="000000"/>
              <w:right w:val="single" w:sz="1" w:space="0" w:color="000000"/>
            </w:tcBorders>
          </w:tcPr>
          <w:p w14:paraId="6BE180C2" w14:textId="77777777" w:rsidR="002141A1" w:rsidRDefault="00000000">
            <w:r>
              <w:rPr>
                <w:sz w:val="20"/>
                <w:szCs w:val="20"/>
              </w:rPr>
              <w:t>Lo10 (Low Accrual)</w:t>
            </w:r>
          </w:p>
        </w:tc>
        <w:tc>
          <w:tcPr>
            <w:tcW w:w="1200" w:type="dxa"/>
            <w:tcBorders>
              <w:top w:val="single" w:sz="1" w:space="0" w:color="000000"/>
              <w:left w:val="single" w:sz="1" w:space="0" w:color="000000"/>
              <w:bottom w:val="single" w:sz="1" w:space="0" w:color="000000"/>
              <w:right w:val="single" w:sz="1" w:space="0" w:color="000000"/>
            </w:tcBorders>
          </w:tcPr>
          <w:p w14:paraId="45159214" w14:textId="77777777" w:rsidR="002141A1" w:rsidRDefault="00000000">
            <w:pPr>
              <w:jc w:val="right"/>
            </w:pPr>
            <w:r>
              <w:rPr>
                <w:sz w:val="20"/>
                <w:szCs w:val="20"/>
              </w:rPr>
              <w:t>15.08</w:t>
            </w:r>
          </w:p>
        </w:tc>
        <w:tc>
          <w:tcPr>
            <w:tcW w:w="1200" w:type="dxa"/>
            <w:tcBorders>
              <w:top w:val="single" w:sz="1" w:space="0" w:color="000000"/>
              <w:left w:val="single" w:sz="1" w:space="0" w:color="000000"/>
              <w:bottom w:val="single" w:sz="1" w:space="0" w:color="000000"/>
              <w:right w:val="single" w:sz="1" w:space="0" w:color="000000"/>
            </w:tcBorders>
          </w:tcPr>
          <w:p w14:paraId="6791EFFD" w14:textId="77777777" w:rsidR="002141A1" w:rsidRDefault="00000000">
            <w:pPr>
              <w:jc w:val="right"/>
            </w:pPr>
            <w:r>
              <w:rPr>
                <w:sz w:val="20"/>
                <w:szCs w:val="20"/>
              </w:rPr>
              <w:t>25.26</w:t>
            </w:r>
          </w:p>
        </w:tc>
        <w:tc>
          <w:tcPr>
            <w:tcW w:w="1200" w:type="dxa"/>
            <w:tcBorders>
              <w:top w:val="single" w:sz="1" w:space="0" w:color="000000"/>
              <w:left w:val="single" w:sz="1" w:space="0" w:color="000000"/>
              <w:bottom w:val="single" w:sz="1" w:space="0" w:color="000000"/>
              <w:right w:val="single" w:sz="1" w:space="0" w:color="000000"/>
            </w:tcBorders>
          </w:tcPr>
          <w:p w14:paraId="64B0BE3C" w14:textId="77777777" w:rsidR="002141A1" w:rsidRDefault="00000000">
            <w:pPr>
              <w:jc w:val="right"/>
            </w:pPr>
            <w:r>
              <w:rPr>
                <w:sz w:val="20"/>
                <w:szCs w:val="20"/>
              </w:rPr>
              <w:t>0.60</w:t>
            </w:r>
          </w:p>
        </w:tc>
      </w:tr>
      <w:tr w:rsidR="002141A1" w14:paraId="1B4BBC4A" w14:textId="77777777">
        <w:tc>
          <w:tcPr>
            <w:tcW w:w="1400" w:type="dxa"/>
            <w:tcBorders>
              <w:top w:val="single" w:sz="1" w:space="0" w:color="000000"/>
              <w:left w:val="single" w:sz="1" w:space="0" w:color="000000"/>
              <w:bottom w:val="single" w:sz="1" w:space="0" w:color="000000"/>
              <w:right w:val="single" w:sz="1" w:space="0" w:color="000000"/>
            </w:tcBorders>
          </w:tcPr>
          <w:p w14:paraId="7FFAA600" w14:textId="77777777" w:rsidR="002141A1" w:rsidRDefault="00000000">
            <w:r>
              <w:rPr>
                <w:sz w:val="20"/>
                <w:szCs w:val="20"/>
              </w:rPr>
              <w:t>Hi10 (High Accrual)</w:t>
            </w:r>
          </w:p>
        </w:tc>
        <w:tc>
          <w:tcPr>
            <w:tcW w:w="1200" w:type="dxa"/>
            <w:tcBorders>
              <w:top w:val="single" w:sz="1" w:space="0" w:color="000000"/>
              <w:left w:val="single" w:sz="1" w:space="0" w:color="000000"/>
              <w:bottom w:val="single" w:sz="1" w:space="0" w:color="000000"/>
              <w:right w:val="single" w:sz="1" w:space="0" w:color="000000"/>
            </w:tcBorders>
          </w:tcPr>
          <w:p w14:paraId="4DBF4835" w14:textId="77777777" w:rsidR="002141A1" w:rsidRDefault="00000000">
            <w:pPr>
              <w:jc w:val="right"/>
            </w:pPr>
            <w:r>
              <w:rPr>
                <w:sz w:val="20"/>
                <w:szCs w:val="20"/>
              </w:rPr>
              <w:t>10.70</w:t>
            </w:r>
          </w:p>
        </w:tc>
        <w:tc>
          <w:tcPr>
            <w:tcW w:w="1200" w:type="dxa"/>
            <w:tcBorders>
              <w:top w:val="single" w:sz="1" w:space="0" w:color="000000"/>
              <w:left w:val="single" w:sz="1" w:space="0" w:color="000000"/>
              <w:bottom w:val="single" w:sz="1" w:space="0" w:color="000000"/>
              <w:right w:val="single" w:sz="1" w:space="0" w:color="000000"/>
            </w:tcBorders>
          </w:tcPr>
          <w:p w14:paraId="3E41FCFC" w14:textId="77777777" w:rsidR="002141A1" w:rsidRDefault="00000000">
            <w:pPr>
              <w:jc w:val="right"/>
            </w:pPr>
            <w:r>
              <w:rPr>
                <w:sz w:val="20"/>
                <w:szCs w:val="20"/>
              </w:rPr>
              <w:t>25.14</w:t>
            </w:r>
          </w:p>
        </w:tc>
        <w:tc>
          <w:tcPr>
            <w:tcW w:w="1200" w:type="dxa"/>
            <w:tcBorders>
              <w:top w:val="single" w:sz="1" w:space="0" w:color="000000"/>
              <w:left w:val="single" w:sz="1" w:space="0" w:color="000000"/>
              <w:bottom w:val="single" w:sz="1" w:space="0" w:color="000000"/>
              <w:right w:val="single" w:sz="1" w:space="0" w:color="000000"/>
            </w:tcBorders>
          </w:tcPr>
          <w:p w14:paraId="04932053" w14:textId="77777777" w:rsidR="002141A1" w:rsidRDefault="00000000">
            <w:pPr>
              <w:jc w:val="right"/>
            </w:pPr>
            <w:r>
              <w:rPr>
                <w:sz w:val="20"/>
                <w:szCs w:val="20"/>
              </w:rPr>
              <w:t>0.43</w:t>
            </w:r>
          </w:p>
        </w:tc>
      </w:tr>
      <w:tr w:rsidR="002141A1" w14:paraId="6772B039" w14:textId="77777777">
        <w:tc>
          <w:tcPr>
            <w:tcW w:w="1400" w:type="dxa"/>
            <w:tcBorders>
              <w:top w:val="single" w:sz="1" w:space="0" w:color="000000"/>
              <w:left w:val="single" w:sz="1" w:space="0" w:color="000000"/>
              <w:bottom w:val="single" w:sz="1" w:space="0" w:color="000000"/>
              <w:right w:val="single" w:sz="1" w:space="0" w:color="000000"/>
            </w:tcBorders>
            <w:shd w:val="clear" w:color="auto" w:fill="F0F0F0"/>
          </w:tcPr>
          <w:p w14:paraId="438315D6" w14:textId="77777777" w:rsidR="002141A1" w:rsidRDefault="00000000">
            <w:r>
              <w:rPr>
                <w:b/>
                <w:bCs/>
                <w:sz w:val="20"/>
                <w:szCs w:val="20"/>
              </w:rPr>
              <w:t>Spread (Hi10 - Lo10)</w:t>
            </w:r>
          </w:p>
        </w:tc>
        <w:tc>
          <w:tcPr>
            <w:tcW w:w="1200" w:type="dxa"/>
            <w:tcBorders>
              <w:top w:val="single" w:sz="1" w:space="0" w:color="000000"/>
              <w:left w:val="single" w:sz="1" w:space="0" w:color="000000"/>
              <w:bottom w:val="single" w:sz="1" w:space="0" w:color="000000"/>
              <w:right w:val="single" w:sz="1" w:space="0" w:color="000000"/>
            </w:tcBorders>
            <w:shd w:val="clear" w:color="auto" w:fill="F0F0F0"/>
          </w:tcPr>
          <w:p w14:paraId="16E97A00" w14:textId="77777777" w:rsidR="002141A1" w:rsidRDefault="00000000">
            <w:pPr>
              <w:jc w:val="right"/>
            </w:pPr>
            <w:r>
              <w:rPr>
                <w:b/>
                <w:bCs/>
                <w:sz w:val="20"/>
                <w:szCs w:val="20"/>
              </w:rPr>
              <w:t>-4.38</w:t>
            </w:r>
          </w:p>
        </w:tc>
        <w:tc>
          <w:tcPr>
            <w:tcW w:w="1200" w:type="dxa"/>
            <w:tcBorders>
              <w:top w:val="single" w:sz="1" w:space="0" w:color="000000"/>
              <w:left w:val="single" w:sz="1" w:space="0" w:color="000000"/>
              <w:bottom w:val="single" w:sz="1" w:space="0" w:color="000000"/>
              <w:right w:val="single" w:sz="1" w:space="0" w:color="000000"/>
            </w:tcBorders>
            <w:shd w:val="clear" w:color="auto" w:fill="F0F0F0"/>
          </w:tcPr>
          <w:p w14:paraId="15FA21E0" w14:textId="77777777" w:rsidR="002141A1" w:rsidRDefault="00000000">
            <w:pPr>
              <w:jc w:val="right"/>
            </w:pPr>
            <w:r>
              <w:rPr>
                <w:b/>
                <w:bCs/>
                <w:sz w:val="20"/>
                <w:szCs w:val="20"/>
              </w:rPr>
              <w:t>6.33</w:t>
            </w:r>
          </w:p>
        </w:tc>
        <w:tc>
          <w:tcPr>
            <w:tcW w:w="1200" w:type="dxa"/>
            <w:tcBorders>
              <w:top w:val="single" w:sz="1" w:space="0" w:color="000000"/>
              <w:left w:val="single" w:sz="1" w:space="0" w:color="000000"/>
              <w:bottom w:val="single" w:sz="1" w:space="0" w:color="000000"/>
              <w:right w:val="single" w:sz="1" w:space="0" w:color="000000"/>
            </w:tcBorders>
            <w:shd w:val="clear" w:color="auto" w:fill="F0F0F0"/>
          </w:tcPr>
          <w:p w14:paraId="37F259FA" w14:textId="77777777" w:rsidR="002141A1" w:rsidRDefault="00000000">
            <w:pPr>
              <w:jc w:val="right"/>
            </w:pPr>
            <w:r>
              <w:rPr>
                <w:b/>
                <w:bCs/>
                <w:sz w:val="20"/>
                <w:szCs w:val="20"/>
              </w:rPr>
              <w:t>-0.69</w:t>
            </w:r>
          </w:p>
        </w:tc>
      </w:tr>
    </w:tbl>
    <w:p w14:paraId="35DF63D5" w14:textId="77777777" w:rsidR="002141A1" w:rsidRDefault="00000000">
      <w:pPr>
        <w:spacing w:before="40" w:after="160"/>
        <w:jc w:val="center"/>
      </w:pPr>
      <w:r>
        <w:rPr>
          <w:i/>
          <w:iCs/>
          <w:sz w:val="20"/>
          <w:szCs w:val="20"/>
        </w:rPr>
        <w:t>t-statistic for Spread: -5.47</w:t>
      </w:r>
    </w:p>
    <w:p w14:paraId="5605B626" w14:textId="77777777" w:rsidR="002141A1" w:rsidRDefault="00000000">
      <w:pPr>
        <w:pStyle w:val="Heading3"/>
      </w:pPr>
      <w:bookmarkStart w:id="10" w:name="_Toc215956848"/>
      <w:r>
        <w:t>Interpretation of Full Sample Results</w:t>
      </w:r>
      <w:bookmarkEnd w:id="10"/>
    </w:p>
    <w:p w14:paraId="3429AC7E" w14:textId="77777777" w:rsidR="002141A1" w:rsidRDefault="00000000">
      <w:pPr>
        <w:spacing w:after="120"/>
      </w:pPr>
      <w:r>
        <w:t>The results provide strong evidence for the accrual anomaly. Both value-weighted and equal-weighted portfolios show that low-accrual firms (Lo10) significantly outperform high-accrual firms (Hi10). The spread portfolio generates economically and statistically significant negative returns, indicating that a strategy of going long low-accrual stocks and short high-accrual stocks would have been profitable.</w:t>
      </w:r>
    </w:p>
    <w:p w14:paraId="3DCB2BB3" w14:textId="77777777" w:rsidR="002141A1" w:rsidRDefault="00000000">
      <w:pPr>
        <w:spacing w:after="80"/>
      </w:pPr>
      <w:r>
        <w:rPr>
          <w:b/>
          <w:bCs/>
        </w:rPr>
        <w:t>Key Observations:</w:t>
      </w:r>
    </w:p>
    <w:p w14:paraId="36584845" w14:textId="77777777" w:rsidR="002141A1" w:rsidRDefault="00000000">
      <w:pPr>
        <w:pStyle w:val="ListParagraph"/>
        <w:numPr>
          <w:ilvl w:val="0"/>
          <w:numId w:val="2"/>
        </w:numPr>
      </w:pPr>
      <w:r>
        <w:t>The value-weighted spread portfolio has an annualized return of -3.57% with a t-statistic of -2.80, statistically significant at the 1% level.</w:t>
      </w:r>
    </w:p>
    <w:p w14:paraId="73D95B86" w14:textId="77777777" w:rsidR="002141A1" w:rsidRDefault="00000000">
      <w:pPr>
        <w:pStyle w:val="ListParagraph"/>
        <w:numPr>
          <w:ilvl w:val="0"/>
          <w:numId w:val="2"/>
        </w:numPr>
      </w:pPr>
      <w:r>
        <w:t>The equal-weighted spread portfolio shows an even stronger effect with an annualized return of -4.38% and a t-statistic of -5.47.</w:t>
      </w:r>
    </w:p>
    <w:p w14:paraId="7499296C" w14:textId="77777777" w:rsidR="002141A1" w:rsidRDefault="00000000">
      <w:pPr>
        <w:pStyle w:val="ListParagraph"/>
        <w:numPr>
          <w:ilvl w:val="0"/>
          <w:numId w:val="2"/>
        </w:numPr>
      </w:pPr>
      <w:r>
        <w:t>The stronger effect in equal-weighted portfolios suggests the anomaly is more pronounced in smaller firms.</w:t>
      </w:r>
    </w:p>
    <w:p w14:paraId="32D71D48" w14:textId="77777777" w:rsidR="002141A1" w:rsidRDefault="00000000">
      <w:pPr>
        <w:pStyle w:val="ListParagraph"/>
        <w:numPr>
          <w:ilvl w:val="0"/>
          <w:numId w:val="2"/>
        </w:numPr>
      </w:pPr>
      <w:r>
        <w:t>Low-accrual portfolios show superior risk-adjusted returns with Sharpe ratios of 0.70 (VW) and 0.60 (EW) compared to high-accrual portfolios' 0.49 (VW) and 0.43 (EW).</w:t>
      </w:r>
    </w:p>
    <w:p w14:paraId="018B0F2E" w14:textId="77777777" w:rsidR="002141A1" w:rsidRDefault="00000000">
      <w:pPr>
        <w:pStyle w:val="ListParagraph"/>
        <w:numPr>
          <w:ilvl w:val="0"/>
          <w:numId w:val="2"/>
        </w:numPr>
        <w:spacing w:after="120"/>
      </w:pPr>
      <w:r>
        <w:t>The negative Sharpe ratios for spread portfolios reflect the fact that this is measured as Hi10 - Lo10, so a negative return is actually desirable for the long-low/short-high strategy.</w:t>
      </w:r>
    </w:p>
    <w:p w14:paraId="4ED1F7C8" w14:textId="77777777" w:rsidR="002141A1" w:rsidRDefault="00000000">
      <w:r>
        <w:br w:type="page"/>
      </w:r>
    </w:p>
    <w:p w14:paraId="681B839B" w14:textId="77777777" w:rsidR="002141A1" w:rsidRDefault="00000000">
      <w:pPr>
        <w:pStyle w:val="Heading2"/>
      </w:pPr>
      <w:bookmarkStart w:id="11" w:name="_Toc215956849"/>
      <w:r>
        <w:t>3.2 Sub-Period Analysis</w:t>
      </w:r>
      <w:bookmarkEnd w:id="11"/>
    </w:p>
    <w:p w14:paraId="0294AF59" w14:textId="77777777" w:rsidR="002141A1" w:rsidRDefault="00000000">
      <w:pPr>
        <w:spacing w:after="120"/>
      </w:pPr>
      <w:r>
        <w:t>To assess the temporal stability of the accrual anomaly, we examine returns across different decades and economic conditions. Table 3 presents the decade-by-decade performance.</w:t>
      </w:r>
    </w:p>
    <w:p w14:paraId="1D179B3D" w14:textId="77777777" w:rsidR="002141A1" w:rsidRDefault="00000000">
      <w:pPr>
        <w:spacing w:before="120" w:after="80"/>
        <w:jc w:val="center"/>
      </w:pPr>
      <w:r>
        <w:rPr>
          <w:b/>
          <w:bCs/>
        </w:rPr>
        <w:t>Table 3: Sub-Period Analysis - Annualized Returns (%)</w:t>
      </w:r>
    </w:p>
    <w:tbl>
      <w:tblPr>
        <w:tblW w:w="100" w:type="auto"/>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211"/>
        <w:gridCol w:w="1000"/>
        <w:gridCol w:w="1000"/>
        <w:gridCol w:w="1000"/>
        <w:gridCol w:w="1000"/>
        <w:gridCol w:w="1000"/>
        <w:gridCol w:w="1000"/>
      </w:tblGrid>
      <w:tr w:rsidR="002141A1" w14:paraId="7D51EE60"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3D3D3"/>
          </w:tcPr>
          <w:p w14:paraId="2DAB2597" w14:textId="77777777" w:rsidR="002141A1" w:rsidRDefault="00000000">
            <w:pPr>
              <w:jc w:val="center"/>
            </w:pPr>
            <w:r>
              <w:rPr>
                <w:b/>
                <w:bCs/>
                <w:sz w:val="18"/>
                <w:szCs w:val="18"/>
              </w:rPr>
              <w:t>Period</w:t>
            </w:r>
          </w:p>
        </w:tc>
        <w:tc>
          <w:tcPr>
            <w:tcW w:w="1000" w:type="dxa"/>
            <w:gridSpan w:val="3"/>
            <w:tcBorders>
              <w:top w:val="single" w:sz="1" w:space="0" w:color="000000"/>
              <w:left w:val="single" w:sz="1" w:space="0" w:color="000000"/>
              <w:bottom w:val="single" w:sz="1" w:space="0" w:color="000000"/>
              <w:right w:val="single" w:sz="1" w:space="0" w:color="000000"/>
            </w:tcBorders>
            <w:shd w:val="clear" w:color="auto" w:fill="D3D3D3"/>
          </w:tcPr>
          <w:p w14:paraId="19CDE5B4" w14:textId="77777777" w:rsidR="002141A1" w:rsidRDefault="00000000">
            <w:pPr>
              <w:jc w:val="center"/>
            </w:pPr>
            <w:r>
              <w:rPr>
                <w:b/>
                <w:bCs/>
                <w:sz w:val="18"/>
                <w:szCs w:val="18"/>
              </w:rPr>
              <w:t>Value-Weighted</w:t>
            </w:r>
          </w:p>
        </w:tc>
        <w:tc>
          <w:tcPr>
            <w:tcW w:w="1000" w:type="dxa"/>
            <w:gridSpan w:val="3"/>
            <w:tcBorders>
              <w:top w:val="single" w:sz="1" w:space="0" w:color="000000"/>
              <w:left w:val="single" w:sz="1" w:space="0" w:color="000000"/>
              <w:bottom w:val="single" w:sz="1" w:space="0" w:color="000000"/>
              <w:right w:val="single" w:sz="1" w:space="0" w:color="000000"/>
            </w:tcBorders>
            <w:shd w:val="clear" w:color="auto" w:fill="D3D3D3"/>
          </w:tcPr>
          <w:p w14:paraId="0AF1E7AF" w14:textId="77777777" w:rsidR="002141A1" w:rsidRDefault="00000000">
            <w:pPr>
              <w:jc w:val="center"/>
            </w:pPr>
            <w:r>
              <w:rPr>
                <w:b/>
                <w:bCs/>
                <w:sz w:val="18"/>
                <w:szCs w:val="18"/>
              </w:rPr>
              <w:t>Equal-Weighted</w:t>
            </w:r>
          </w:p>
        </w:tc>
      </w:tr>
      <w:tr w:rsidR="002141A1" w14:paraId="65B8CB17"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3D3D3"/>
          </w:tcPr>
          <w:p w14:paraId="4B32D5DB" w14:textId="77777777" w:rsidR="002141A1" w:rsidRDefault="002141A1">
            <w:pPr>
              <w:jc w:val="center"/>
            </w:pPr>
          </w:p>
        </w:tc>
        <w:tc>
          <w:tcPr>
            <w:tcW w:w="1000" w:type="dxa"/>
            <w:tcBorders>
              <w:top w:val="single" w:sz="1" w:space="0" w:color="000000"/>
              <w:left w:val="single" w:sz="1" w:space="0" w:color="000000"/>
              <w:bottom w:val="single" w:sz="1" w:space="0" w:color="000000"/>
              <w:right w:val="single" w:sz="1" w:space="0" w:color="000000"/>
            </w:tcBorders>
            <w:shd w:val="clear" w:color="auto" w:fill="D3D3D3"/>
          </w:tcPr>
          <w:p w14:paraId="78430B7F" w14:textId="77777777" w:rsidR="002141A1" w:rsidRDefault="00000000">
            <w:pPr>
              <w:jc w:val="center"/>
            </w:pPr>
            <w:r>
              <w:rPr>
                <w:b/>
                <w:bCs/>
                <w:sz w:val="18"/>
                <w:szCs w:val="18"/>
              </w:rPr>
              <w:t>Lo10</w:t>
            </w:r>
          </w:p>
        </w:tc>
        <w:tc>
          <w:tcPr>
            <w:tcW w:w="1000" w:type="dxa"/>
            <w:tcBorders>
              <w:top w:val="single" w:sz="1" w:space="0" w:color="000000"/>
              <w:left w:val="single" w:sz="1" w:space="0" w:color="000000"/>
              <w:bottom w:val="single" w:sz="1" w:space="0" w:color="000000"/>
              <w:right w:val="single" w:sz="1" w:space="0" w:color="000000"/>
            </w:tcBorders>
            <w:shd w:val="clear" w:color="auto" w:fill="D3D3D3"/>
          </w:tcPr>
          <w:p w14:paraId="3F1CF847" w14:textId="77777777" w:rsidR="002141A1" w:rsidRDefault="00000000">
            <w:pPr>
              <w:jc w:val="center"/>
            </w:pPr>
            <w:r>
              <w:rPr>
                <w:b/>
                <w:bCs/>
                <w:sz w:val="18"/>
                <w:szCs w:val="18"/>
              </w:rPr>
              <w:t>Hi10</w:t>
            </w:r>
          </w:p>
        </w:tc>
        <w:tc>
          <w:tcPr>
            <w:tcW w:w="1000" w:type="dxa"/>
            <w:tcBorders>
              <w:top w:val="single" w:sz="1" w:space="0" w:color="000000"/>
              <w:left w:val="single" w:sz="1" w:space="0" w:color="000000"/>
              <w:bottom w:val="single" w:sz="1" w:space="0" w:color="000000"/>
              <w:right w:val="single" w:sz="1" w:space="0" w:color="000000"/>
            </w:tcBorders>
            <w:shd w:val="clear" w:color="auto" w:fill="D3D3D3"/>
          </w:tcPr>
          <w:p w14:paraId="556DA06C" w14:textId="77777777" w:rsidR="002141A1" w:rsidRDefault="00000000">
            <w:pPr>
              <w:jc w:val="center"/>
            </w:pPr>
            <w:r>
              <w:rPr>
                <w:b/>
                <w:bCs/>
                <w:sz w:val="18"/>
                <w:szCs w:val="18"/>
              </w:rPr>
              <w:t>Spread</w:t>
            </w:r>
          </w:p>
        </w:tc>
        <w:tc>
          <w:tcPr>
            <w:tcW w:w="1000" w:type="dxa"/>
            <w:tcBorders>
              <w:top w:val="single" w:sz="1" w:space="0" w:color="000000"/>
              <w:left w:val="single" w:sz="1" w:space="0" w:color="000000"/>
              <w:bottom w:val="single" w:sz="1" w:space="0" w:color="000000"/>
              <w:right w:val="single" w:sz="1" w:space="0" w:color="000000"/>
            </w:tcBorders>
            <w:shd w:val="clear" w:color="auto" w:fill="D3D3D3"/>
          </w:tcPr>
          <w:p w14:paraId="69B026E6" w14:textId="77777777" w:rsidR="002141A1" w:rsidRDefault="00000000">
            <w:pPr>
              <w:jc w:val="center"/>
            </w:pPr>
            <w:r>
              <w:rPr>
                <w:b/>
                <w:bCs/>
                <w:sz w:val="18"/>
                <w:szCs w:val="18"/>
              </w:rPr>
              <w:t>Lo10</w:t>
            </w:r>
          </w:p>
        </w:tc>
        <w:tc>
          <w:tcPr>
            <w:tcW w:w="1000" w:type="dxa"/>
            <w:tcBorders>
              <w:top w:val="single" w:sz="1" w:space="0" w:color="000000"/>
              <w:left w:val="single" w:sz="1" w:space="0" w:color="000000"/>
              <w:bottom w:val="single" w:sz="1" w:space="0" w:color="000000"/>
              <w:right w:val="single" w:sz="1" w:space="0" w:color="000000"/>
            </w:tcBorders>
            <w:shd w:val="clear" w:color="auto" w:fill="D3D3D3"/>
          </w:tcPr>
          <w:p w14:paraId="25D13354" w14:textId="77777777" w:rsidR="002141A1" w:rsidRDefault="00000000">
            <w:pPr>
              <w:jc w:val="center"/>
            </w:pPr>
            <w:r>
              <w:rPr>
                <w:b/>
                <w:bCs/>
                <w:sz w:val="18"/>
                <w:szCs w:val="18"/>
              </w:rPr>
              <w:t>Hi10</w:t>
            </w:r>
          </w:p>
        </w:tc>
        <w:tc>
          <w:tcPr>
            <w:tcW w:w="1000" w:type="dxa"/>
            <w:tcBorders>
              <w:top w:val="single" w:sz="1" w:space="0" w:color="000000"/>
              <w:left w:val="single" w:sz="1" w:space="0" w:color="000000"/>
              <w:bottom w:val="single" w:sz="1" w:space="0" w:color="000000"/>
              <w:right w:val="single" w:sz="1" w:space="0" w:color="000000"/>
            </w:tcBorders>
            <w:shd w:val="clear" w:color="auto" w:fill="D3D3D3"/>
          </w:tcPr>
          <w:p w14:paraId="65AAD4F6" w14:textId="77777777" w:rsidR="002141A1" w:rsidRDefault="00000000">
            <w:pPr>
              <w:jc w:val="center"/>
            </w:pPr>
            <w:r>
              <w:rPr>
                <w:b/>
                <w:bCs/>
                <w:sz w:val="18"/>
                <w:szCs w:val="18"/>
              </w:rPr>
              <w:t>Spread</w:t>
            </w:r>
          </w:p>
        </w:tc>
      </w:tr>
      <w:tr w:rsidR="002141A1" w14:paraId="293532B2" w14:textId="77777777">
        <w:tc>
          <w:tcPr>
            <w:tcW w:w="1200" w:type="dxa"/>
            <w:tcBorders>
              <w:top w:val="single" w:sz="1" w:space="0" w:color="000000"/>
              <w:left w:val="single" w:sz="1" w:space="0" w:color="000000"/>
              <w:bottom w:val="single" w:sz="1" w:space="0" w:color="000000"/>
              <w:right w:val="single" w:sz="1" w:space="0" w:color="000000"/>
            </w:tcBorders>
          </w:tcPr>
          <w:p w14:paraId="7D541681" w14:textId="77777777" w:rsidR="002141A1" w:rsidRDefault="00000000">
            <w:r>
              <w:rPr>
                <w:sz w:val="18"/>
                <w:szCs w:val="18"/>
              </w:rPr>
              <w:t>1960s</w:t>
            </w:r>
          </w:p>
        </w:tc>
        <w:tc>
          <w:tcPr>
            <w:tcW w:w="1000" w:type="dxa"/>
            <w:tcBorders>
              <w:top w:val="single" w:sz="1" w:space="0" w:color="000000"/>
              <w:left w:val="single" w:sz="1" w:space="0" w:color="000000"/>
              <w:bottom w:val="single" w:sz="1" w:space="0" w:color="000000"/>
              <w:right w:val="single" w:sz="1" w:space="0" w:color="000000"/>
            </w:tcBorders>
          </w:tcPr>
          <w:p w14:paraId="1DF05B4F" w14:textId="77777777" w:rsidR="002141A1" w:rsidRDefault="00000000">
            <w:pPr>
              <w:jc w:val="right"/>
            </w:pPr>
            <w:r>
              <w:rPr>
                <w:sz w:val="18"/>
                <w:szCs w:val="18"/>
              </w:rPr>
              <w:t>17.35</w:t>
            </w:r>
          </w:p>
        </w:tc>
        <w:tc>
          <w:tcPr>
            <w:tcW w:w="1000" w:type="dxa"/>
            <w:tcBorders>
              <w:top w:val="single" w:sz="1" w:space="0" w:color="000000"/>
              <w:left w:val="single" w:sz="1" w:space="0" w:color="000000"/>
              <w:bottom w:val="single" w:sz="1" w:space="0" w:color="000000"/>
              <w:right w:val="single" w:sz="1" w:space="0" w:color="000000"/>
            </w:tcBorders>
          </w:tcPr>
          <w:p w14:paraId="28EBB6B3" w14:textId="77777777" w:rsidR="002141A1" w:rsidRDefault="00000000">
            <w:pPr>
              <w:jc w:val="right"/>
            </w:pPr>
            <w:r>
              <w:rPr>
                <w:sz w:val="18"/>
                <w:szCs w:val="18"/>
              </w:rPr>
              <w:t>8.90</w:t>
            </w:r>
          </w:p>
        </w:tc>
        <w:tc>
          <w:tcPr>
            <w:tcW w:w="1000" w:type="dxa"/>
            <w:tcBorders>
              <w:top w:val="single" w:sz="1" w:space="0" w:color="000000"/>
              <w:left w:val="single" w:sz="1" w:space="0" w:color="000000"/>
              <w:bottom w:val="single" w:sz="1" w:space="0" w:color="000000"/>
              <w:right w:val="single" w:sz="1" w:space="0" w:color="000000"/>
            </w:tcBorders>
          </w:tcPr>
          <w:p w14:paraId="75CCB210" w14:textId="77777777" w:rsidR="002141A1" w:rsidRDefault="00000000">
            <w:pPr>
              <w:jc w:val="right"/>
            </w:pPr>
            <w:r>
              <w:rPr>
                <w:sz w:val="18"/>
                <w:szCs w:val="18"/>
              </w:rPr>
              <w:t>-8.45</w:t>
            </w:r>
          </w:p>
        </w:tc>
        <w:tc>
          <w:tcPr>
            <w:tcW w:w="1000" w:type="dxa"/>
            <w:tcBorders>
              <w:top w:val="single" w:sz="1" w:space="0" w:color="000000"/>
              <w:left w:val="single" w:sz="1" w:space="0" w:color="000000"/>
              <w:bottom w:val="single" w:sz="1" w:space="0" w:color="000000"/>
              <w:right w:val="single" w:sz="1" w:space="0" w:color="000000"/>
            </w:tcBorders>
          </w:tcPr>
          <w:p w14:paraId="48D80320" w14:textId="77777777" w:rsidR="002141A1" w:rsidRDefault="00000000">
            <w:pPr>
              <w:jc w:val="right"/>
            </w:pPr>
            <w:r>
              <w:rPr>
                <w:sz w:val="18"/>
                <w:szCs w:val="18"/>
              </w:rPr>
              <w:t>24.88</w:t>
            </w:r>
          </w:p>
        </w:tc>
        <w:tc>
          <w:tcPr>
            <w:tcW w:w="1000" w:type="dxa"/>
            <w:tcBorders>
              <w:top w:val="single" w:sz="1" w:space="0" w:color="000000"/>
              <w:left w:val="single" w:sz="1" w:space="0" w:color="000000"/>
              <w:bottom w:val="single" w:sz="1" w:space="0" w:color="000000"/>
              <w:right w:val="single" w:sz="1" w:space="0" w:color="000000"/>
            </w:tcBorders>
          </w:tcPr>
          <w:p w14:paraId="21FCD172" w14:textId="77777777" w:rsidR="002141A1" w:rsidRDefault="00000000">
            <w:pPr>
              <w:jc w:val="right"/>
            </w:pPr>
            <w:r>
              <w:rPr>
                <w:sz w:val="18"/>
                <w:szCs w:val="18"/>
              </w:rPr>
              <w:t>18.02</w:t>
            </w:r>
          </w:p>
        </w:tc>
        <w:tc>
          <w:tcPr>
            <w:tcW w:w="1000" w:type="dxa"/>
            <w:tcBorders>
              <w:top w:val="single" w:sz="1" w:space="0" w:color="000000"/>
              <w:left w:val="single" w:sz="1" w:space="0" w:color="000000"/>
              <w:bottom w:val="single" w:sz="1" w:space="0" w:color="000000"/>
              <w:right w:val="single" w:sz="1" w:space="0" w:color="000000"/>
            </w:tcBorders>
          </w:tcPr>
          <w:p w14:paraId="7AFBCEB0" w14:textId="77777777" w:rsidR="002141A1" w:rsidRDefault="00000000">
            <w:pPr>
              <w:jc w:val="right"/>
            </w:pPr>
            <w:r>
              <w:rPr>
                <w:sz w:val="18"/>
                <w:szCs w:val="18"/>
              </w:rPr>
              <w:t>-6.86</w:t>
            </w:r>
          </w:p>
        </w:tc>
      </w:tr>
      <w:tr w:rsidR="002141A1" w14:paraId="57129349" w14:textId="77777777">
        <w:tc>
          <w:tcPr>
            <w:tcW w:w="1200" w:type="dxa"/>
            <w:tcBorders>
              <w:top w:val="single" w:sz="1" w:space="0" w:color="000000"/>
              <w:left w:val="single" w:sz="1" w:space="0" w:color="000000"/>
              <w:bottom w:val="single" w:sz="1" w:space="0" w:color="000000"/>
              <w:right w:val="single" w:sz="1" w:space="0" w:color="000000"/>
            </w:tcBorders>
          </w:tcPr>
          <w:p w14:paraId="78E69AC5" w14:textId="77777777" w:rsidR="002141A1" w:rsidRDefault="00000000">
            <w:r>
              <w:rPr>
                <w:sz w:val="18"/>
                <w:szCs w:val="18"/>
              </w:rPr>
              <w:t>1970s</w:t>
            </w:r>
          </w:p>
        </w:tc>
        <w:tc>
          <w:tcPr>
            <w:tcW w:w="1000" w:type="dxa"/>
            <w:tcBorders>
              <w:top w:val="single" w:sz="1" w:space="0" w:color="000000"/>
              <w:left w:val="single" w:sz="1" w:space="0" w:color="000000"/>
              <w:bottom w:val="single" w:sz="1" w:space="0" w:color="000000"/>
              <w:right w:val="single" w:sz="1" w:space="0" w:color="000000"/>
            </w:tcBorders>
          </w:tcPr>
          <w:p w14:paraId="41CC7C0A" w14:textId="77777777" w:rsidR="002141A1" w:rsidRDefault="00000000">
            <w:pPr>
              <w:jc w:val="right"/>
            </w:pPr>
            <w:r>
              <w:rPr>
                <w:sz w:val="18"/>
                <w:szCs w:val="18"/>
              </w:rPr>
              <w:t>11.37</w:t>
            </w:r>
          </w:p>
        </w:tc>
        <w:tc>
          <w:tcPr>
            <w:tcW w:w="1000" w:type="dxa"/>
            <w:tcBorders>
              <w:top w:val="single" w:sz="1" w:space="0" w:color="000000"/>
              <w:left w:val="single" w:sz="1" w:space="0" w:color="000000"/>
              <w:bottom w:val="single" w:sz="1" w:space="0" w:color="000000"/>
              <w:right w:val="single" w:sz="1" w:space="0" w:color="000000"/>
            </w:tcBorders>
          </w:tcPr>
          <w:p w14:paraId="5CBF6ADE" w14:textId="77777777" w:rsidR="002141A1" w:rsidRDefault="00000000">
            <w:pPr>
              <w:jc w:val="right"/>
            </w:pPr>
            <w:r>
              <w:rPr>
                <w:sz w:val="18"/>
                <w:szCs w:val="18"/>
              </w:rPr>
              <w:t>4.97</w:t>
            </w:r>
          </w:p>
        </w:tc>
        <w:tc>
          <w:tcPr>
            <w:tcW w:w="1000" w:type="dxa"/>
            <w:tcBorders>
              <w:top w:val="single" w:sz="1" w:space="0" w:color="000000"/>
              <w:left w:val="single" w:sz="1" w:space="0" w:color="000000"/>
              <w:bottom w:val="single" w:sz="1" w:space="0" w:color="000000"/>
              <w:right w:val="single" w:sz="1" w:space="0" w:color="000000"/>
            </w:tcBorders>
          </w:tcPr>
          <w:p w14:paraId="36739B51" w14:textId="77777777" w:rsidR="002141A1" w:rsidRDefault="00000000">
            <w:pPr>
              <w:jc w:val="right"/>
            </w:pPr>
            <w:r>
              <w:rPr>
                <w:sz w:val="18"/>
                <w:szCs w:val="18"/>
              </w:rPr>
              <w:t>-6.40</w:t>
            </w:r>
          </w:p>
        </w:tc>
        <w:tc>
          <w:tcPr>
            <w:tcW w:w="1000" w:type="dxa"/>
            <w:tcBorders>
              <w:top w:val="single" w:sz="1" w:space="0" w:color="000000"/>
              <w:left w:val="single" w:sz="1" w:space="0" w:color="000000"/>
              <w:bottom w:val="single" w:sz="1" w:space="0" w:color="000000"/>
              <w:right w:val="single" w:sz="1" w:space="0" w:color="000000"/>
            </w:tcBorders>
          </w:tcPr>
          <w:p w14:paraId="0C1A5602" w14:textId="77777777" w:rsidR="002141A1" w:rsidRDefault="00000000">
            <w:pPr>
              <w:jc w:val="right"/>
            </w:pPr>
            <w:r>
              <w:rPr>
                <w:sz w:val="18"/>
                <w:szCs w:val="18"/>
              </w:rPr>
              <w:t>16.66</w:t>
            </w:r>
          </w:p>
        </w:tc>
        <w:tc>
          <w:tcPr>
            <w:tcW w:w="1000" w:type="dxa"/>
            <w:tcBorders>
              <w:top w:val="single" w:sz="1" w:space="0" w:color="000000"/>
              <w:left w:val="single" w:sz="1" w:space="0" w:color="000000"/>
              <w:bottom w:val="single" w:sz="1" w:space="0" w:color="000000"/>
              <w:right w:val="single" w:sz="1" w:space="0" w:color="000000"/>
            </w:tcBorders>
          </w:tcPr>
          <w:p w14:paraId="69624D8F" w14:textId="77777777" w:rsidR="002141A1" w:rsidRDefault="00000000">
            <w:pPr>
              <w:jc w:val="right"/>
            </w:pPr>
            <w:r>
              <w:rPr>
                <w:sz w:val="18"/>
                <w:szCs w:val="18"/>
              </w:rPr>
              <w:t>10.82</w:t>
            </w:r>
          </w:p>
        </w:tc>
        <w:tc>
          <w:tcPr>
            <w:tcW w:w="1000" w:type="dxa"/>
            <w:tcBorders>
              <w:top w:val="single" w:sz="1" w:space="0" w:color="000000"/>
              <w:left w:val="single" w:sz="1" w:space="0" w:color="000000"/>
              <w:bottom w:val="single" w:sz="1" w:space="0" w:color="000000"/>
              <w:right w:val="single" w:sz="1" w:space="0" w:color="000000"/>
            </w:tcBorders>
          </w:tcPr>
          <w:p w14:paraId="7B46680C" w14:textId="77777777" w:rsidR="002141A1" w:rsidRDefault="00000000">
            <w:pPr>
              <w:jc w:val="right"/>
            </w:pPr>
            <w:r>
              <w:rPr>
                <w:sz w:val="18"/>
                <w:szCs w:val="18"/>
              </w:rPr>
              <w:t>-5.84</w:t>
            </w:r>
          </w:p>
        </w:tc>
      </w:tr>
      <w:tr w:rsidR="002141A1" w14:paraId="7CE45014" w14:textId="77777777">
        <w:tc>
          <w:tcPr>
            <w:tcW w:w="1200" w:type="dxa"/>
            <w:tcBorders>
              <w:top w:val="single" w:sz="1" w:space="0" w:color="000000"/>
              <w:left w:val="single" w:sz="1" w:space="0" w:color="000000"/>
              <w:bottom w:val="single" w:sz="1" w:space="0" w:color="000000"/>
              <w:right w:val="single" w:sz="1" w:space="0" w:color="000000"/>
            </w:tcBorders>
          </w:tcPr>
          <w:p w14:paraId="7EA94C54" w14:textId="77777777" w:rsidR="002141A1" w:rsidRDefault="00000000">
            <w:r>
              <w:rPr>
                <w:sz w:val="18"/>
                <w:szCs w:val="18"/>
              </w:rPr>
              <w:t>1980s</w:t>
            </w:r>
          </w:p>
        </w:tc>
        <w:tc>
          <w:tcPr>
            <w:tcW w:w="1000" w:type="dxa"/>
            <w:tcBorders>
              <w:top w:val="single" w:sz="1" w:space="0" w:color="000000"/>
              <w:left w:val="single" w:sz="1" w:space="0" w:color="000000"/>
              <w:bottom w:val="single" w:sz="1" w:space="0" w:color="000000"/>
              <w:right w:val="single" w:sz="1" w:space="0" w:color="000000"/>
            </w:tcBorders>
          </w:tcPr>
          <w:p w14:paraId="3FE23989" w14:textId="77777777" w:rsidR="002141A1" w:rsidRDefault="00000000">
            <w:pPr>
              <w:jc w:val="right"/>
            </w:pPr>
            <w:r>
              <w:rPr>
                <w:sz w:val="18"/>
                <w:szCs w:val="18"/>
              </w:rPr>
              <w:t>15.42</w:t>
            </w:r>
          </w:p>
        </w:tc>
        <w:tc>
          <w:tcPr>
            <w:tcW w:w="1000" w:type="dxa"/>
            <w:tcBorders>
              <w:top w:val="single" w:sz="1" w:space="0" w:color="000000"/>
              <w:left w:val="single" w:sz="1" w:space="0" w:color="000000"/>
              <w:bottom w:val="single" w:sz="1" w:space="0" w:color="000000"/>
              <w:right w:val="single" w:sz="1" w:space="0" w:color="000000"/>
            </w:tcBorders>
          </w:tcPr>
          <w:p w14:paraId="64C622E5" w14:textId="77777777" w:rsidR="002141A1" w:rsidRDefault="00000000">
            <w:pPr>
              <w:jc w:val="right"/>
            </w:pPr>
            <w:r>
              <w:rPr>
                <w:sz w:val="18"/>
                <w:szCs w:val="18"/>
              </w:rPr>
              <w:t>14.54</w:t>
            </w:r>
          </w:p>
        </w:tc>
        <w:tc>
          <w:tcPr>
            <w:tcW w:w="1000" w:type="dxa"/>
            <w:tcBorders>
              <w:top w:val="single" w:sz="1" w:space="0" w:color="000000"/>
              <w:left w:val="single" w:sz="1" w:space="0" w:color="000000"/>
              <w:bottom w:val="single" w:sz="1" w:space="0" w:color="000000"/>
              <w:right w:val="single" w:sz="1" w:space="0" w:color="000000"/>
            </w:tcBorders>
          </w:tcPr>
          <w:p w14:paraId="20359B23" w14:textId="77777777" w:rsidR="002141A1" w:rsidRDefault="00000000">
            <w:pPr>
              <w:jc w:val="right"/>
            </w:pPr>
            <w:r>
              <w:rPr>
                <w:sz w:val="18"/>
                <w:szCs w:val="18"/>
              </w:rPr>
              <w:t>-0.88</w:t>
            </w:r>
          </w:p>
        </w:tc>
        <w:tc>
          <w:tcPr>
            <w:tcW w:w="1000" w:type="dxa"/>
            <w:tcBorders>
              <w:top w:val="single" w:sz="1" w:space="0" w:color="000000"/>
              <w:left w:val="single" w:sz="1" w:space="0" w:color="000000"/>
              <w:bottom w:val="single" w:sz="1" w:space="0" w:color="000000"/>
              <w:right w:val="single" w:sz="1" w:space="0" w:color="000000"/>
            </w:tcBorders>
          </w:tcPr>
          <w:p w14:paraId="438D4F6D" w14:textId="77777777" w:rsidR="002141A1" w:rsidRDefault="00000000">
            <w:pPr>
              <w:jc w:val="right"/>
            </w:pPr>
            <w:r>
              <w:rPr>
                <w:sz w:val="18"/>
                <w:szCs w:val="18"/>
              </w:rPr>
              <w:t>13.02</w:t>
            </w:r>
          </w:p>
        </w:tc>
        <w:tc>
          <w:tcPr>
            <w:tcW w:w="1000" w:type="dxa"/>
            <w:tcBorders>
              <w:top w:val="single" w:sz="1" w:space="0" w:color="000000"/>
              <w:left w:val="single" w:sz="1" w:space="0" w:color="000000"/>
              <w:bottom w:val="single" w:sz="1" w:space="0" w:color="000000"/>
              <w:right w:val="single" w:sz="1" w:space="0" w:color="000000"/>
            </w:tcBorders>
          </w:tcPr>
          <w:p w14:paraId="1F2CEDE7" w14:textId="77777777" w:rsidR="002141A1" w:rsidRDefault="00000000">
            <w:pPr>
              <w:jc w:val="right"/>
            </w:pPr>
            <w:r>
              <w:rPr>
                <w:sz w:val="18"/>
                <w:szCs w:val="18"/>
              </w:rPr>
              <w:t>11.00</w:t>
            </w:r>
          </w:p>
        </w:tc>
        <w:tc>
          <w:tcPr>
            <w:tcW w:w="1000" w:type="dxa"/>
            <w:tcBorders>
              <w:top w:val="single" w:sz="1" w:space="0" w:color="000000"/>
              <w:left w:val="single" w:sz="1" w:space="0" w:color="000000"/>
              <w:bottom w:val="single" w:sz="1" w:space="0" w:color="000000"/>
              <w:right w:val="single" w:sz="1" w:space="0" w:color="000000"/>
            </w:tcBorders>
          </w:tcPr>
          <w:p w14:paraId="19AF8093" w14:textId="77777777" w:rsidR="002141A1" w:rsidRDefault="00000000">
            <w:pPr>
              <w:jc w:val="right"/>
            </w:pPr>
            <w:r>
              <w:rPr>
                <w:sz w:val="18"/>
                <w:szCs w:val="18"/>
              </w:rPr>
              <w:t>-2.02</w:t>
            </w:r>
          </w:p>
        </w:tc>
      </w:tr>
      <w:tr w:rsidR="002141A1" w14:paraId="2C416CDF" w14:textId="77777777">
        <w:tc>
          <w:tcPr>
            <w:tcW w:w="1200" w:type="dxa"/>
            <w:tcBorders>
              <w:top w:val="single" w:sz="1" w:space="0" w:color="000000"/>
              <w:left w:val="single" w:sz="1" w:space="0" w:color="000000"/>
              <w:bottom w:val="single" w:sz="1" w:space="0" w:color="000000"/>
              <w:right w:val="single" w:sz="1" w:space="0" w:color="000000"/>
            </w:tcBorders>
          </w:tcPr>
          <w:p w14:paraId="5DE116CF" w14:textId="77777777" w:rsidR="002141A1" w:rsidRDefault="00000000">
            <w:r>
              <w:rPr>
                <w:sz w:val="18"/>
                <w:szCs w:val="18"/>
              </w:rPr>
              <w:t>1990s</w:t>
            </w:r>
          </w:p>
        </w:tc>
        <w:tc>
          <w:tcPr>
            <w:tcW w:w="1000" w:type="dxa"/>
            <w:tcBorders>
              <w:top w:val="single" w:sz="1" w:space="0" w:color="000000"/>
              <w:left w:val="single" w:sz="1" w:space="0" w:color="000000"/>
              <w:bottom w:val="single" w:sz="1" w:space="0" w:color="000000"/>
              <w:right w:val="single" w:sz="1" w:space="0" w:color="000000"/>
            </w:tcBorders>
          </w:tcPr>
          <w:p w14:paraId="1F34F3AB" w14:textId="77777777" w:rsidR="002141A1" w:rsidRDefault="00000000">
            <w:pPr>
              <w:jc w:val="right"/>
            </w:pPr>
            <w:r>
              <w:rPr>
                <w:sz w:val="18"/>
                <w:szCs w:val="18"/>
              </w:rPr>
              <w:t>18.22</w:t>
            </w:r>
          </w:p>
        </w:tc>
        <w:tc>
          <w:tcPr>
            <w:tcW w:w="1000" w:type="dxa"/>
            <w:tcBorders>
              <w:top w:val="single" w:sz="1" w:space="0" w:color="000000"/>
              <w:left w:val="single" w:sz="1" w:space="0" w:color="000000"/>
              <w:bottom w:val="single" w:sz="1" w:space="0" w:color="000000"/>
              <w:right w:val="single" w:sz="1" w:space="0" w:color="000000"/>
            </w:tcBorders>
          </w:tcPr>
          <w:p w14:paraId="4D74B33F" w14:textId="77777777" w:rsidR="002141A1" w:rsidRDefault="00000000">
            <w:pPr>
              <w:jc w:val="right"/>
            </w:pPr>
            <w:r>
              <w:rPr>
                <w:sz w:val="18"/>
                <w:szCs w:val="18"/>
              </w:rPr>
              <w:t>12.78</w:t>
            </w:r>
          </w:p>
        </w:tc>
        <w:tc>
          <w:tcPr>
            <w:tcW w:w="1000" w:type="dxa"/>
            <w:tcBorders>
              <w:top w:val="single" w:sz="1" w:space="0" w:color="000000"/>
              <w:left w:val="single" w:sz="1" w:space="0" w:color="000000"/>
              <w:bottom w:val="single" w:sz="1" w:space="0" w:color="000000"/>
              <w:right w:val="single" w:sz="1" w:space="0" w:color="000000"/>
            </w:tcBorders>
          </w:tcPr>
          <w:p w14:paraId="110D66B5" w14:textId="77777777" w:rsidR="002141A1" w:rsidRDefault="00000000">
            <w:pPr>
              <w:jc w:val="right"/>
            </w:pPr>
            <w:r>
              <w:rPr>
                <w:sz w:val="18"/>
                <w:szCs w:val="18"/>
              </w:rPr>
              <w:t>-5.44</w:t>
            </w:r>
          </w:p>
        </w:tc>
        <w:tc>
          <w:tcPr>
            <w:tcW w:w="1000" w:type="dxa"/>
            <w:tcBorders>
              <w:top w:val="single" w:sz="1" w:space="0" w:color="000000"/>
              <w:left w:val="single" w:sz="1" w:space="0" w:color="000000"/>
              <w:bottom w:val="single" w:sz="1" w:space="0" w:color="000000"/>
              <w:right w:val="single" w:sz="1" w:space="0" w:color="000000"/>
            </w:tcBorders>
          </w:tcPr>
          <w:p w14:paraId="4A29FA08" w14:textId="77777777" w:rsidR="002141A1" w:rsidRDefault="00000000">
            <w:pPr>
              <w:jc w:val="right"/>
            </w:pPr>
            <w:r>
              <w:rPr>
                <w:sz w:val="18"/>
                <w:szCs w:val="18"/>
              </w:rPr>
              <w:t>19.82</w:t>
            </w:r>
          </w:p>
        </w:tc>
        <w:tc>
          <w:tcPr>
            <w:tcW w:w="1000" w:type="dxa"/>
            <w:tcBorders>
              <w:top w:val="single" w:sz="1" w:space="0" w:color="000000"/>
              <w:left w:val="single" w:sz="1" w:space="0" w:color="000000"/>
              <w:bottom w:val="single" w:sz="1" w:space="0" w:color="000000"/>
              <w:right w:val="single" w:sz="1" w:space="0" w:color="000000"/>
            </w:tcBorders>
          </w:tcPr>
          <w:p w14:paraId="4769DB4C" w14:textId="77777777" w:rsidR="002141A1" w:rsidRDefault="00000000">
            <w:pPr>
              <w:jc w:val="right"/>
            </w:pPr>
            <w:r>
              <w:rPr>
                <w:sz w:val="18"/>
                <w:szCs w:val="18"/>
              </w:rPr>
              <w:t>12.57</w:t>
            </w:r>
          </w:p>
        </w:tc>
        <w:tc>
          <w:tcPr>
            <w:tcW w:w="1000" w:type="dxa"/>
            <w:tcBorders>
              <w:top w:val="single" w:sz="1" w:space="0" w:color="000000"/>
              <w:left w:val="single" w:sz="1" w:space="0" w:color="000000"/>
              <w:bottom w:val="single" w:sz="1" w:space="0" w:color="000000"/>
              <w:right w:val="single" w:sz="1" w:space="0" w:color="000000"/>
            </w:tcBorders>
          </w:tcPr>
          <w:p w14:paraId="430EDD02" w14:textId="77777777" w:rsidR="002141A1" w:rsidRDefault="00000000">
            <w:pPr>
              <w:jc w:val="right"/>
            </w:pPr>
            <w:r>
              <w:rPr>
                <w:sz w:val="18"/>
                <w:szCs w:val="18"/>
              </w:rPr>
              <w:t>-7.25</w:t>
            </w:r>
          </w:p>
        </w:tc>
      </w:tr>
      <w:tr w:rsidR="002141A1" w14:paraId="4139C9AD" w14:textId="77777777">
        <w:tc>
          <w:tcPr>
            <w:tcW w:w="1200" w:type="dxa"/>
            <w:tcBorders>
              <w:top w:val="single" w:sz="1" w:space="0" w:color="000000"/>
              <w:left w:val="single" w:sz="1" w:space="0" w:color="000000"/>
              <w:bottom w:val="single" w:sz="1" w:space="0" w:color="000000"/>
              <w:right w:val="single" w:sz="1" w:space="0" w:color="000000"/>
            </w:tcBorders>
          </w:tcPr>
          <w:p w14:paraId="64FA6400" w14:textId="77777777" w:rsidR="002141A1" w:rsidRDefault="00000000">
            <w:r>
              <w:rPr>
                <w:sz w:val="18"/>
                <w:szCs w:val="18"/>
              </w:rPr>
              <w:t>2000s</w:t>
            </w:r>
          </w:p>
        </w:tc>
        <w:tc>
          <w:tcPr>
            <w:tcW w:w="1000" w:type="dxa"/>
            <w:tcBorders>
              <w:top w:val="single" w:sz="1" w:space="0" w:color="000000"/>
              <w:left w:val="single" w:sz="1" w:space="0" w:color="000000"/>
              <w:bottom w:val="single" w:sz="1" w:space="0" w:color="000000"/>
              <w:right w:val="single" w:sz="1" w:space="0" w:color="000000"/>
            </w:tcBorders>
          </w:tcPr>
          <w:p w14:paraId="74DB4EA8" w14:textId="77777777" w:rsidR="002141A1" w:rsidRDefault="00000000">
            <w:pPr>
              <w:jc w:val="right"/>
            </w:pPr>
            <w:r>
              <w:rPr>
                <w:sz w:val="18"/>
                <w:szCs w:val="18"/>
              </w:rPr>
              <w:t>0.12</w:t>
            </w:r>
          </w:p>
        </w:tc>
        <w:tc>
          <w:tcPr>
            <w:tcW w:w="1000" w:type="dxa"/>
            <w:tcBorders>
              <w:top w:val="single" w:sz="1" w:space="0" w:color="000000"/>
              <w:left w:val="single" w:sz="1" w:space="0" w:color="000000"/>
              <w:bottom w:val="single" w:sz="1" w:space="0" w:color="000000"/>
              <w:right w:val="single" w:sz="1" w:space="0" w:color="000000"/>
            </w:tcBorders>
          </w:tcPr>
          <w:p w14:paraId="1C656A23" w14:textId="77777777" w:rsidR="002141A1" w:rsidRDefault="00000000">
            <w:pPr>
              <w:jc w:val="right"/>
            </w:pPr>
            <w:r>
              <w:rPr>
                <w:sz w:val="18"/>
                <w:szCs w:val="18"/>
              </w:rPr>
              <w:t>-0.33</w:t>
            </w:r>
          </w:p>
        </w:tc>
        <w:tc>
          <w:tcPr>
            <w:tcW w:w="1000" w:type="dxa"/>
            <w:tcBorders>
              <w:top w:val="single" w:sz="1" w:space="0" w:color="000000"/>
              <w:left w:val="single" w:sz="1" w:space="0" w:color="000000"/>
              <w:bottom w:val="single" w:sz="1" w:space="0" w:color="000000"/>
              <w:right w:val="single" w:sz="1" w:space="0" w:color="000000"/>
            </w:tcBorders>
          </w:tcPr>
          <w:p w14:paraId="79A571CA" w14:textId="77777777" w:rsidR="002141A1" w:rsidRDefault="00000000">
            <w:pPr>
              <w:jc w:val="right"/>
            </w:pPr>
            <w:r>
              <w:rPr>
                <w:sz w:val="18"/>
                <w:szCs w:val="18"/>
              </w:rPr>
              <w:t>-0.46</w:t>
            </w:r>
          </w:p>
        </w:tc>
        <w:tc>
          <w:tcPr>
            <w:tcW w:w="1000" w:type="dxa"/>
            <w:tcBorders>
              <w:top w:val="single" w:sz="1" w:space="0" w:color="000000"/>
              <w:left w:val="single" w:sz="1" w:space="0" w:color="000000"/>
              <w:bottom w:val="single" w:sz="1" w:space="0" w:color="000000"/>
              <w:right w:val="single" w:sz="1" w:space="0" w:color="000000"/>
            </w:tcBorders>
          </w:tcPr>
          <w:p w14:paraId="5B0B519C" w14:textId="77777777" w:rsidR="002141A1" w:rsidRDefault="00000000">
            <w:pPr>
              <w:jc w:val="right"/>
            </w:pPr>
            <w:r>
              <w:rPr>
                <w:sz w:val="18"/>
                <w:szCs w:val="18"/>
              </w:rPr>
              <w:t>11.75</w:t>
            </w:r>
          </w:p>
        </w:tc>
        <w:tc>
          <w:tcPr>
            <w:tcW w:w="1000" w:type="dxa"/>
            <w:tcBorders>
              <w:top w:val="single" w:sz="1" w:space="0" w:color="000000"/>
              <w:left w:val="single" w:sz="1" w:space="0" w:color="000000"/>
              <w:bottom w:val="single" w:sz="1" w:space="0" w:color="000000"/>
              <w:right w:val="single" w:sz="1" w:space="0" w:color="000000"/>
            </w:tcBorders>
          </w:tcPr>
          <w:p w14:paraId="5C46B7FE" w14:textId="77777777" w:rsidR="002141A1" w:rsidRDefault="00000000">
            <w:pPr>
              <w:jc w:val="right"/>
            </w:pPr>
            <w:r>
              <w:rPr>
                <w:sz w:val="18"/>
                <w:szCs w:val="18"/>
              </w:rPr>
              <w:t>9.95</w:t>
            </w:r>
          </w:p>
        </w:tc>
        <w:tc>
          <w:tcPr>
            <w:tcW w:w="1000" w:type="dxa"/>
            <w:tcBorders>
              <w:top w:val="single" w:sz="1" w:space="0" w:color="000000"/>
              <w:left w:val="single" w:sz="1" w:space="0" w:color="000000"/>
              <w:bottom w:val="single" w:sz="1" w:space="0" w:color="000000"/>
              <w:right w:val="single" w:sz="1" w:space="0" w:color="000000"/>
            </w:tcBorders>
          </w:tcPr>
          <w:p w14:paraId="200D81D0" w14:textId="77777777" w:rsidR="002141A1" w:rsidRDefault="00000000">
            <w:pPr>
              <w:jc w:val="right"/>
            </w:pPr>
            <w:r>
              <w:rPr>
                <w:sz w:val="18"/>
                <w:szCs w:val="18"/>
              </w:rPr>
              <w:t>-1.80</w:t>
            </w:r>
          </w:p>
        </w:tc>
      </w:tr>
      <w:tr w:rsidR="002141A1" w14:paraId="118AB5CB" w14:textId="77777777">
        <w:tc>
          <w:tcPr>
            <w:tcW w:w="1200" w:type="dxa"/>
            <w:tcBorders>
              <w:top w:val="single" w:sz="1" w:space="0" w:color="000000"/>
              <w:left w:val="single" w:sz="1" w:space="0" w:color="000000"/>
              <w:bottom w:val="single" w:sz="1" w:space="0" w:color="000000"/>
              <w:right w:val="single" w:sz="1" w:space="0" w:color="000000"/>
            </w:tcBorders>
          </w:tcPr>
          <w:p w14:paraId="60FAC5C4" w14:textId="77777777" w:rsidR="002141A1" w:rsidRDefault="00000000">
            <w:r>
              <w:rPr>
                <w:sz w:val="18"/>
                <w:szCs w:val="18"/>
              </w:rPr>
              <w:t>2010s</w:t>
            </w:r>
          </w:p>
        </w:tc>
        <w:tc>
          <w:tcPr>
            <w:tcW w:w="1000" w:type="dxa"/>
            <w:tcBorders>
              <w:top w:val="single" w:sz="1" w:space="0" w:color="000000"/>
              <w:left w:val="single" w:sz="1" w:space="0" w:color="000000"/>
              <w:bottom w:val="single" w:sz="1" w:space="0" w:color="000000"/>
              <w:right w:val="single" w:sz="1" w:space="0" w:color="000000"/>
            </w:tcBorders>
          </w:tcPr>
          <w:p w14:paraId="0F81DAD4" w14:textId="77777777" w:rsidR="002141A1" w:rsidRDefault="00000000">
            <w:pPr>
              <w:jc w:val="right"/>
            </w:pPr>
            <w:r>
              <w:rPr>
                <w:sz w:val="18"/>
                <w:szCs w:val="18"/>
              </w:rPr>
              <w:t>19.03</w:t>
            </w:r>
          </w:p>
        </w:tc>
        <w:tc>
          <w:tcPr>
            <w:tcW w:w="1000" w:type="dxa"/>
            <w:tcBorders>
              <w:top w:val="single" w:sz="1" w:space="0" w:color="000000"/>
              <w:left w:val="single" w:sz="1" w:space="0" w:color="000000"/>
              <w:bottom w:val="single" w:sz="1" w:space="0" w:color="000000"/>
              <w:right w:val="single" w:sz="1" w:space="0" w:color="000000"/>
            </w:tcBorders>
          </w:tcPr>
          <w:p w14:paraId="03B4BCB4" w14:textId="77777777" w:rsidR="002141A1" w:rsidRDefault="00000000">
            <w:pPr>
              <w:jc w:val="right"/>
            </w:pPr>
            <w:r>
              <w:rPr>
                <w:sz w:val="18"/>
                <w:szCs w:val="18"/>
              </w:rPr>
              <w:t>13.52</w:t>
            </w:r>
          </w:p>
        </w:tc>
        <w:tc>
          <w:tcPr>
            <w:tcW w:w="1000" w:type="dxa"/>
            <w:tcBorders>
              <w:top w:val="single" w:sz="1" w:space="0" w:color="000000"/>
              <w:left w:val="single" w:sz="1" w:space="0" w:color="000000"/>
              <w:bottom w:val="single" w:sz="1" w:space="0" w:color="000000"/>
              <w:right w:val="single" w:sz="1" w:space="0" w:color="000000"/>
            </w:tcBorders>
          </w:tcPr>
          <w:p w14:paraId="47B7F605" w14:textId="77777777" w:rsidR="002141A1" w:rsidRDefault="00000000">
            <w:pPr>
              <w:jc w:val="right"/>
            </w:pPr>
            <w:r>
              <w:rPr>
                <w:sz w:val="18"/>
                <w:szCs w:val="18"/>
              </w:rPr>
              <w:t>-5.51</w:t>
            </w:r>
          </w:p>
        </w:tc>
        <w:tc>
          <w:tcPr>
            <w:tcW w:w="1000" w:type="dxa"/>
            <w:tcBorders>
              <w:top w:val="single" w:sz="1" w:space="0" w:color="000000"/>
              <w:left w:val="single" w:sz="1" w:space="0" w:color="000000"/>
              <w:bottom w:val="single" w:sz="1" w:space="0" w:color="000000"/>
              <w:right w:val="single" w:sz="1" w:space="0" w:color="000000"/>
            </w:tcBorders>
          </w:tcPr>
          <w:p w14:paraId="7765F33B" w14:textId="77777777" w:rsidR="002141A1" w:rsidRDefault="00000000">
            <w:pPr>
              <w:jc w:val="right"/>
            </w:pPr>
            <w:r>
              <w:rPr>
                <w:sz w:val="18"/>
                <w:szCs w:val="18"/>
              </w:rPr>
              <w:t>9.53</w:t>
            </w:r>
          </w:p>
        </w:tc>
        <w:tc>
          <w:tcPr>
            <w:tcW w:w="1000" w:type="dxa"/>
            <w:tcBorders>
              <w:top w:val="single" w:sz="1" w:space="0" w:color="000000"/>
              <w:left w:val="single" w:sz="1" w:space="0" w:color="000000"/>
              <w:bottom w:val="single" w:sz="1" w:space="0" w:color="000000"/>
              <w:right w:val="single" w:sz="1" w:space="0" w:color="000000"/>
            </w:tcBorders>
          </w:tcPr>
          <w:p w14:paraId="1D312156" w14:textId="77777777" w:rsidR="002141A1" w:rsidRDefault="00000000">
            <w:pPr>
              <w:jc w:val="right"/>
            </w:pPr>
            <w:r>
              <w:rPr>
                <w:sz w:val="18"/>
                <w:szCs w:val="18"/>
              </w:rPr>
              <w:t>5.86</w:t>
            </w:r>
          </w:p>
        </w:tc>
        <w:tc>
          <w:tcPr>
            <w:tcW w:w="1000" w:type="dxa"/>
            <w:tcBorders>
              <w:top w:val="single" w:sz="1" w:space="0" w:color="000000"/>
              <w:left w:val="single" w:sz="1" w:space="0" w:color="000000"/>
              <w:bottom w:val="single" w:sz="1" w:space="0" w:color="000000"/>
              <w:right w:val="single" w:sz="1" w:space="0" w:color="000000"/>
            </w:tcBorders>
          </w:tcPr>
          <w:p w14:paraId="00D8A04F" w14:textId="77777777" w:rsidR="002141A1" w:rsidRDefault="00000000">
            <w:pPr>
              <w:jc w:val="right"/>
            </w:pPr>
            <w:r>
              <w:rPr>
                <w:sz w:val="18"/>
                <w:szCs w:val="18"/>
              </w:rPr>
              <w:t>-3.67</w:t>
            </w:r>
          </w:p>
        </w:tc>
      </w:tr>
      <w:tr w:rsidR="002141A1" w14:paraId="5E04F4FF" w14:textId="77777777">
        <w:tc>
          <w:tcPr>
            <w:tcW w:w="1200" w:type="dxa"/>
            <w:tcBorders>
              <w:top w:val="single" w:sz="1" w:space="0" w:color="000000"/>
              <w:left w:val="single" w:sz="1" w:space="0" w:color="000000"/>
              <w:bottom w:val="single" w:sz="1" w:space="0" w:color="000000"/>
              <w:right w:val="single" w:sz="1" w:space="0" w:color="000000"/>
            </w:tcBorders>
            <w:shd w:val="clear" w:color="auto" w:fill="F0F0F0"/>
          </w:tcPr>
          <w:p w14:paraId="116CDDFA" w14:textId="77777777" w:rsidR="002141A1" w:rsidRDefault="00000000">
            <w:r>
              <w:rPr>
                <w:b/>
                <w:bCs/>
                <w:sz w:val="18"/>
                <w:szCs w:val="18"/>
              </w:rPr>
              <w:t>Recessions</w:t>
            </w:r>
          </w:p>
        </w:tc>
        <w:tc>
          <w:tcPr>
            <w:tcW w:w="1000" w:type="dxa"/>
            <w:tcBorders>
              <w:top w:val="single" w:sz="1" w:space="0" w:color="000000"/>
              <w:left w:val="single" w:sz="1" w:space="0" w:color="000000"/>
              <w:bottom w:val="single" w:sz="1" w:space="0" w:color="000000"/>
              <w:right w:val="single" w:sz="1" w:space="0" w:color="000000"/>
            </w:tcBorders>
            <w:shd w:val="clear" w:color="auto" w:fill="F0F0F0"/>
          </w:tcPr>
          <w:p w14:paraId="188C8BC3" w14:textId="77777777" w:rsidR="002141A1" w:rsidRDefault="00000000">
            <w:pPr>
              <w:jc w:val="right"/>
            </w:pPr>
            <w:r>
              <w:rPr>
                <w:b/>
                <w:bCs/>
                <w:sz w:val="18"/>
                <w:szCs w:val="18"/>
              </w:rPr>
              <w:t>-7.05</w:t>
            </w:r>
          </w:p>
        </w:tc>
        <w:tc>
          <w:tcPr>
            <w:tcW w:w="1000" w:type="dxa"/>
            <w:tcBorders>
              <w:top w:val="single" w:sz="1" w:space="0" w:color="000000"/>
              <w:left w:val="single" w:sz="1" w:space="0" w:color="000000"/>
              <w:bottom w:val="single" w:sz="1" w:space="0" w:color="000000"/>
              <w:right w:val="single" w:sz="1" w:space="0" w:color="000000"/>
            </w:tcBorders>
            <w:shd w:val="clear" w:color="auto" w:fill="F0F0F0"/>
          </w:tcPr>
          <w:p w14:paraId="62DA820E" w14:textId="77777777" w:rsidR="002141A1" w:rsidRDefault="00000000">
            <w:pPr>
              <w:jc w:val="right"/>
            </w:pPr>
            <w:r>
              <w:rPr>
                <w:b/>
                <w:bCs/>
                <w:sz w:val="18"/>
                <w:szCs w:val="18"/>
              </w:rPr>
              <w:t>-7.05</w:t>
            </w:r>
          </w:p>
        </w:tc>
        <w:tc>
          <w:tcPr>
            <w:tcW w:w="1000" w:type="dxa"/>
            <w:tcBorders>
              <w:top w:val="single" w:sz="1" w:space="0" w:color="000000"/>
              <w:left w:val="single" w:sz="1" w:space="0" w:color="000000"/>
              <w:bottom w:val="single" w:sz="1" w:space="0" w:color="000000"/>
              <w:right w:val="single" w:sz="1" w:space="0" w:color="000000"/>
            </w:tcBorders>
            <w:shd w:val="clear" w:color="auto" w:fill="F0F0F0"/>
          </w:tcPr>
          <w:p w14:paraId="73BC3CD8" w14:textId="77777777" w:rsidR="002141A1" w:rsidRDefault="00000000">
            <w:pPr>
              <w:jc w:val="right"/>
            </w:pPr>
            <w:r>
              <w:rPr>
                <w:b/>
                <w:bCs/>
                <w:sz w:val="18"/>
                <w:szCs w:val="18"/>
              </w:rPr>
              <w:t>0.00</w:t>
            </w:r>
          </w:p>
        </w:tc>
        <w:tc>
          <w:tcPr>
            <w:tcW w:w="1000" w:type="dxa"/>
            <w:tcBorders>
              <w:top w:val="single" w:sz="1" w:space="0" w:color="000000"/>
              <w:left w:val="single" w:sz="1" w:space="0" w:color="000000"/>
              <w:bottom w:val="single" w:sz="1" w:space="0" w:color="000000"/>
              <w:right w:val="single" w:sz="1" w:space="0" w:color="000000"/>
            </w:tcBorders>
            <w:shd w:val="clear" w:color="auto" w:fill="F0F0F0"/>
          </w:tcPr>
          <w:p w14:paraId="17772641" w14:textId="77777777" w:rsidR="002141A1" w:rsidRDefault="00000000">
            <w:pPr>
              <w:jc w:val="right"/>
            </w:pPr>
            <w:r>
              <w:rPr>
                <w:b/>
                <w:bCs/>
                <w:sz w:val="18"/>
                <w:szCs w:val="18"/>
              </w:rPr>
              <w:t>-3.60</w:t>
            </w:r>
          </w:p>
        </w:tc>
        <w:tc>
          <w:tcPr>
            <w:tcW w:w="1000" w:type="dxa"/>
            <w:tcBorders>
              <w:top w:val="single" w:sz="1" w:space="0" w:color="000000"/>
              <w:left w:val="single" w:sz="1" w:space="0" w:color="000000"/>
              <w:bottom w:val="single" w:sz="1" w:space="0" w:color="000000"/>
              <w:right w:val="single" w:sz="1" w:space="0" w:color="000000"/>
            </w:tcBorders>
            <w:shd w:val="clear" w:color="auto" w:fill="F0F0F0"/>
          </w:tcPr>
          <w:p w14:paraId="510341C9" w14:textId="77777777" w:rsidR="002141A1" w:rsidRDefault="00000000">
            <w:pPr>
              <w:jc w:val="right"/>
            </w:pPr>
            <w:r>
              <w:rPr>
                <w:b/>
                <w:bCs/>
                <w:sz w:val="18"/>
                <w:szCs w:val="18"/>
              </w:rPr>
              <w:t>-4.06</w:t>
            </w:r>
          </w:p>
        </w:tc>
        <w:tc>
          <w:tcPr>
            <w:tcW w:w="1000" w:type="dxa"/>
            <w:tcBorders>
              <w:top w:val="single" w:sz="1" w:space="0" w:color="000000"/>
              <w:left w:val="single" w:sz="1" w:space="0" w:color="000000"/>
              <w:bottom w:val="single" w:sz="1" w:space="0" w:color="000000"/>
              <w:right w:val="single" w:sz="1" w:space="0" w:color="000000"/>
            </w:tcBorders>
            <w:shd w:val="clear" w:color="auto" w:fill="F0F0F0"/>
          </w:tcPr>
          <w:p w14:paraId="04FFA260" w14:textId="77777777" w:rsidR="002141A1" w:rsidRDefault="00000000">
            <w:pPr>
              <w:jc w:val="right"/>
            </w:pPr>
            <w:r>
              <w:rPr>
                <w:b/>
                <w:bCs/>
                <w:sz w:val="18"/>
                <w:szCs w:val="18"/>
              </w:rPr>
              <w:t>-0.46</w:t>
            </w:r>
          </w:p>
        </w:tc>
      </w:tr>
      <w:tr w:rsidR="002141A1" w14:paraId="5E21C765" w14:textId="77777777">
        <w:tc>
          <w:tcPr>
            <w:tcW w:w="1200" w:type="dxa"/>
            <w:tcBorders>
              <w:top w:val="single" w:sz="1" w:space="0" w:color="000000"/>
              <w:left w:val="single" w:sz="1" w:space="0" w:color="000000"/>
              <w:bottom w:val="single" w:sz="1" w:space="0" w:color="000000"/>
              <w:right w:val="single" w:sz="1" w:space="0" w:color="000000"/>
            </w:tcBorders>
            <w:shd w:val="clear" w:color="auto" w:fill="F0F0F0"/>
          </w:tcPr>
          <w:p w14:paraId="7F37B658" w14:textId="77777777" w:rsidR="002141A1" w:rsidRDefault="00000000">
            <w:r>
              <w:rPr>
                <w:b/>
                <w:bCs/>
                <w:sz w:val="18"/>
                <w:szCs w:val="18"/>
              </w:rPr>
              <w:t>Expansions</w:t>
            </w:r>
          </w:p>
        </w:tc>
        <w:tc>
          <w:tcPr>
            <w:tcW w:w="1000" w:type="dxa"/>
            <w:tcBorders>
              <w:top w:val="single" w:sz="1" w:space="0" w:color="000000"/>
              <w:left w:val="single" w:sz="1" w:space="0" w:color="000000"/>
              <w:bottom w:val="single" w:sz="1" w:space="0" w:color="000000"/>
              <w:right w:val="single" w:sz="1" w:space="0" w:color="000000"/>
            </w:tcBorders>
            <w:shd w:val="clear" w:color="auto" w:fill="F0F0F0"/>
          </w:tcPr>
          <w:p w14:paraId="175B5AC3" w14:textId="77777777" w:rsidR="002141A1" w:rsidRDefault="00000000">
            <w:pPr>
              <w:jc w:val="right"/>
            </w:pPr>
            <w:r>
              <w:rPr>
                <w:b/>
                <w:bCs/>
                <w:sz w:val="18"/>
                <w:szCs w:val="18"/>
              </w:rPr>
              <w:t>16.36</w:t>
            </w:r>
          </w:p>
        </w:tc>
        <w:tc>
          <w:tcPr>
            <w:tcW w:w="1000" w:type="dxa"/>
            <w:tcBorders>
              <w:top w:val="single" w:sz="1" w:space="0" w:color="000000"/>
              <w:left w:val="single" w:sz="1" w:space="0" w:color="000000"/>
              <w:bottom w:val="single" w:sz="1" w:space="0" w:color="000000"/>
              <w:right w:val="single" w:sz="1" w:space="0" w:color="000000"/>
            </w:tcBorders>
            <w:shd w:val="clear" w:color="auto" w:fill="F0F0F0"/>
          </w:tcPr>
          <w:p w14:paraId="26B5AA02" w14:textId="77777777" w:rsidR="002141A1" w:rsidRDefault="00000000">
            <w:pPr>
              <w:jc w:val="right"/>
            </w:pPr>
            <w:r>
              <w:rPr>
                <w:b/>
                <w:bCs/>
                <w:sz w:val="18"/>
                <w:szCs w:val="18"/>
              </w:rPr>
              <w:t>12.29</w:t>
            </w:r>
          </w:p>
        </w:tc>
        <w:tc>
          <w:tcPr>
            <w:tcW w:w="1000" w:type="dxa"/>
            <w:tcBorders>
              <w:top w:val="single" w:sz="1" w:space="0" w:color="000000"/>
              <w:left w:val="single" w:sz="1" w:space="0" w:color="000000"/>
              <w:bottom w:val="single" w:sz="1" w:space="0" w:color="000000"/>
              <w:right w:val="single" w:sz="1" w:space="0" w:color="000000"/>
            </w:tcBorders>
            <w:shd w:val="clear" w:color="auto" w:fill="F0F0F0"/>
          </w:tcPr>
          <w:p w14:paraId="2247C6ED" w14:textId="77777777" w:rsidR="002141A1" w:rsidRDefault="00000000">
            <w:pPr>
              <w:jc w:val="right"/>
            </w:pPr>
            <w:r>
              <w:rPr>
                <w:b/>
                <w:bCs/>
                <w:sz w:val="18"/>
                <w:szCs w:val="18"/>
              </w:rPr>
              <w:t>-4.07</w:t>
            </w:r>
          </w:p>
        </w:tc>
        <w:tc>
          <w:tcPr>
            <w:tcW w:w="1000" w:type="dxa"/>
            <w:tcBorders>
              <w:top w:val="single" w:sz="1" w:space="0" w:color="000000"/>
              <w:left w:val="single" w:sz="1" w:space="0" w:color="000000"/>
              <w:bottom w:val="single" w:sz="1" w:space="0" w:color="000000"/>
              <w:right w:val="single" w:sz="1" w:space="0" w:color="000000"/>
            </w:tcBorders>
            <w:shd w:val="clear" w:color="auto" w:fill="F0F0F0"/>
          </w:tcPr>
          <w:p w14:paraId="36A72E6A" w14:textId="77777777" w:rsidR="002141A1" w:rsidRDefault="00000000">
            <w:pPr>
              <w:jc w:val="right"/>
            </w:pPr>
            <w:r>
              <w:rPr>
                <w:b/>
                <w:bCs/>
                <w:sz w:val="18"/>
                <w:szCs w:val="18"/>
              </w:rPr>
              <w:t>17.74</w:t>
            </w:r>
          </w:p>
        </w:tc>
        <w:tc>
          <w:tcPr>
            <w:tcW w:w="1000" w:type="dxa"/>
            <w:tcBorders>
              <w:top w:val="single" w:sz="1" w:space="0" w:color="000000"/>
              <w:left w:val="single" w:sz="1" w:space="0" w:color="000000"/>
              <w:bottom w:val="single" w:sz="1" w:space="0" w:color="000000"/>
              <w:right w:val="single" w:sz="1" w:space="0" w:color="000000"/>
            </w:tcBorders>
            <w:shd w:val="clear" w:color="auto" w:fill="F0F0F0"/>
          </w:tcPr>
          <w:p w14:paraId="46AC7AD0" w14:textId="77777777" w:rsidR="002141A1" w:rsidRDefault="00000000">
            <w:pPr>
              <w:jc w:val="right"/>
            </w:pPr>
            <w:r>
              <w:rPr>
                <w:b/>
                <w:bCs/>
                <w:sz w:val="18"/>
                <w:szCs w:val="18"/>
              </w:rPr>
              <w:t>12.80</w:t>
            </w:r>
          </w:p>
        </w:tc>
        <w:tc>
          <w:tcPr>
            <w:tcW w:w="1000" w:type="dxa"/>
            <w:tcBorders>
              <w:top w:val="single" w:sz="1" w:space="0" w:color="000000"/>
              <w:left w:val="single" w:sz="1" w:space="0" w:color="000000"/>
              <w:bottom w:val="single" w:sz="1" w:space="0" w:color="000000"/>
              <w:right w:val="single" w:sz="1" w:space="0" w:color="000000"/>
            </w:tcBorders>
            <w:shd w:val="clear" w:color="auto" w:fill="F0F0F0"/>
          </w:tcPr>
          <w:p w14:paraId="61F06363" w14:textId="77777777" w:rsidR="002141A1" w:rsidRDefault="00000000">
            <w:pPr>
              <w:jc w:val="right"/>
            </w:pPr>
            <w:r>
              <w:rPr>
                <w:b/>
                <w:bCs/>
                <w:sz w:val="18"/>
                <w:szCs w:val="18"/>
              </w:rPr>
              <w:t>-4.94</w:t>
            </w:r>
          </w:p>
        </w:tc>
      </w:tr>
    </w:tbl>
    <w:p w14:paraId="50EB6640" w14:textId="77777777" w:rsidR="002141A1" w:rsidRDefault="00000000">
      <w:pPr>
        <w:spacing w:before="160" w:after="80"/>
      </w:pPr>
      <w:r>
        <w:rPr>
          <w:b/>
          <w:bCs/>
        </w:rPr>
        <w:t>Interpretation of Sub-Period Results:</w:t>
      </w:r>
    </w:p>
    <w:p w14:paraId="71BE890D" w14:textId="77777777" w:rsidR="002141A1" w:rsidRDefault="00000000">
      <w:pPr>
        <w:pStyle w:val="ListParagraph"/>
        <w:numPr>
          <w:ilvl w:val="0"/>
          <w:numId w:val="2"/>
        </w:numPr>
      </w:pPr>
      <w:r>
        <w:rPr>
          <w:b/>
          <w:bCs/>
        </w:rPr>
        <w:t>Temporal Stability:</w:t>
      </w:r>
      <w:r>
        <w:t xml:space="preserve"> The anomaly persists across most decades. The 1960s, 1970s, 1990s, and 2010s all show statistically significant spread returns.</w:t>
      </w:r>
    </w:p>
    <w:p w14:paraId="359CB5D4" w14:textId="77777777" w:rsidR="002141A1" w:rsidRDefault="00000000">
      <w:pPr>
        <w:pStyle w:val="ListParagraph"/>
        <w:numPr>
          <w:ilvl w:val="0"/>
          <w:numId w:val="2"/>
        </w:numPr>
      </w:pPr>
      <w:r>
        <w:rPr>
          <w:b/>
          <w:bCs/>
        </w:rPr>
        <w:t>1980s Weakening:</w:t>
      </w:r>
      <w:r>
        <w:t xml:space="preserve"> The anomaly was notably weaker in the 1980s, with spread returns of only -0.88% (VW) and -2.02% (EW), suggesting periods of reduced profitability.</w:t>
      </w:r>
    </w:p>
    <w:p w14:paraId="57F85477" w14:textId="77777777" w:rsidR="002141A1" w:rsidRDefault="00000000">
      <w:pPr>
        <w:pStyle w:val="ListParagraph"/>
        <w:numPr>
          <w:ilvl w:val="0"/>
          <w:numId w:val="2"/>
        </w:numPr>
      </w:pPr>
      <w:r>
        <w:rPr>
          <w:b/>
          <w:bCs/>
        </w:rPr>
        <w:t>2000s Performance:</w:t>
      </w:r>
      <w:r>
        <w:t xml:space="preserve"> The 2000s showed minimal spread returns for value-weighted portfolios (-0.46%), though equal-weighted still showed -1.80%, again suggesting the effect is stronger in smaller firms.</w:t>
      </w:r>
    </w:p>
    <w:p w14:paraId="6CCD39E3" w14:textId="77777777" w:rsidR="002141A1" w:rsidRDefault="00000000">
      <w:pPr>
        <w:pStyle w:val="ListParagraph"/>
        <w:numPr>
          <w:ilvl w:val="0"/>
          <w:numId w:val="2"/>
        </w:numPr>
      </w:pPr>
      <w:r>
        <w:rPr>
          <w:b/>
          <w:bCs/>
        </w:rPr>
        <w:t>Recent Performance:</w:t>
      </w:r>
      <w:r>
        <w:t xml:space="preserve"> The 2010s saw a resurgence of the anomaly with spread returns of -5.51% (VW) and -3.67% (EW), suggesting the strategy remains viable.</w:t>
      </w:r>
    </w:p>
    <w:p w14:paraId="18329F72" w14:textId="77777777" w:rsidR="002141A1" w:rsidRDefault="00000000">
      <w:pPr>
        <w:pStyle w:val="ListParagraph"/>
        <w:numPr>
          <w:ilvl w:val="0"/>
          <w:numId w:val="2"/>
        </w:numPr>
      </w:pPr>
      <w:r>
        <w:rPr>
          <w:b/>
          <w:bCs/>
        </w:rPr>
        <w:t>Recession vs. Expansion:</w:t>
      </w:r>
      <w:r>
        <w:t xml:space="preserve"> Interestingly, the spread portfolios show virtually no returns during recessions (0.00% for VW, -0.46% for EW), with all the returns concentrated in expansion periods (-4.07% VW, -4.94% EW). This suggests the anomaly is primarily an expansion-period phenomenon.</w:t>
      </w:r>
    </w:p>
    <w:p w14:paraId="691B9421" w14:textId="77777777" w:rsidR="002141A1" w:rsidRDefault="00000000">
      <w:pPr>
        <w:pStyle w:val="ListParagraph"/>
        <w:numPr>
          <w:ilvl w:val="0"/>
          <w:numId w:val="2"/>
        </w:numPr>
        <w:spacing w:after="120"/>
      </w:pPr>
      <w:r>
        <w:rPr>
          <w:b/>
          <w:bCs/>
        </w:rPr>
        <w:t>Equal vs Value Weighting:</w:t>
      </w:r>
      <w:r>
        <w:t xml:space="preserve"> Equal-weighted portfolios generally show stronger anomaly effects, consistent with the pattern being more pronounced in smaller firms where mispricing may be greater due to lower analyst coverage and higher information asymmetry.</w:t>
      </w:r>
    </w:p>
    <w:p w14:paraId="620EAD46" w14:textId="77777777" w:rsidR="002141A1" w:rsidRDefault="00000000">
      <w:r>
        <w:br w:type="page"/>
      </w:r>
    </w:p>
    <w:p w14:paraId="681A36DC" w14:textId="77777777" w:rsidR="002141A1" w:rsidRDefault="00000000">
      <w:pPr>
        <w:pStyle w:val="Heading2"/>
      </w:pPr>
      <w:bookmarkStart w:id="12" w:name="_Toc215956850"/>
      <w:r>
        <w:t>3.3 Time Series Analysis</w:t>
      </w:r>
      <w:bookmarkEnd w:id="12"/>
    </w:p>
    <w:p w14:paraId="50B78D5B" w14:textId="77777777" w:rsidR="002141A1" w:rsidRDefault="00000000">
      <w:pPr>
        <w:spacing w:after="120"/>
      </w:pPr>
      <w:r>
        <w:t>Figures 1-4 present the time series plots of monthly returns for the extreme decile portfolios and spread portfolios. The gray shaded regions indicate NBER-defined recession periods.</w:t>
      </w:r>
    </w:p>
    <w:p w14:paraId="2CB6CA6E" w14:textId="77777777" w:rsidR="002141A1" w:rsidRDefault="00000000">
      <w:pPr>
        <w:spacing w:after="80"/>
      </w:pPr>
      <w:r>
        <w:rPr>
          <w:b/>
          <w:bCs/>
        </w:rPr>
        <w:t>Key Observations from Time Series Plots:</w:t>
      </w:r>
    </w:p>
    <w:p w14:paraId="7B80A6CA" w14:textId="77777777" w:rsidR="002141A1" w:rsidRDefault="00000000">
      <w:pPr>
        <w:pStyle w:val="ListParagraph"/>
        <w:numPr>
          <w:ilvl w:val="0"/>
          <w:numId w:val="2"/>
        </w:numPr>
      </w:pPr>
      <w:r>
        <w:rPr>
          <w:b/>
          <w:bCs/>
        </w:rPr>
        <w:t>Spread Return Distribution:</w:t>
      </w:r>
      <w:r>
        <w:t xml:space="preserve"> The value-weighted spread portfolio is negative in 53.3% of months, while the equal-weighted spread is negative in 59.4% of months. This indicates the strategy would be profitable more often than not when implemented as long-low/short-high.</w:t>
      </w:r>
    </w:p>
    <w:p w14:paraId="118B8281" w14:textId="77777777" w:rsidR="002141A1" w:rsidRDefault="00000000">
      <w:pPr>
        <w:pStyle w:val="ListParagraph"/>
        <w:numPr>
          <w:ilvl w:val="0"/>
          <w:numId w:val="2"/>
        </w:numPr>
      </w:pPr>
      <w:r>
        <w:rPr>
          <w:b/>
          <w:bCs/>
        </w:rPr>
        <w:t>Volatility Patterns:</w:t>
      </w:r>
      <w:r>
        <w:t xml:space="preserve"> Both low and high accrual portfolios show similar volatility patterns, with spikes during recession periods. This suggests accrual-based sorting does not significantly alter systematic risk exposure.</w:t>
      </w:r>
    </w:p>
    <w:p w14:paraId="301A50BA" w14:textId="77777777" w:rsidR="002141A1" w:rsidRDefault="00000000">
      <w:pPr>
        <w:pStyle w:val="ListParagraph"/>
        <w:numPr>
          <w:ilvl w:val="0"/>
          <w:numId w:val="2"/>
        </w:numPr>
      </w:pPr>
      <w:r>
        <w:rPr>
          <w:b/>
          <w:bCs/>
        </w:rPr>
        <w:t>Recession Behavior:</w:t>
      </w:r>
      <w:r>
        <w:t xml:space="preserve"> During recessions, the spread portfolios tend to show more volatile returns but no clear directional pattern, consistent with the near-zero average recession returns observed in the sub-period analysis.</w:t>
      </w:r>
    </w:p>
    <w:p w14:paraId="7C97BC72" w14:textId="77777777" w:rsidR="002141A1" w:rsidRDefault="00000000">
      <w:pPr>
        <w:pStyle w:val="ListParagraph"/>
        <w:numPr>
          <w:ilvl w:val="0"/>
          <w:numId w:val="2"/>
        </w:numPr>
        <w:spacing w:after="120"/>
      </w:pPr>
      <w:r>
        <w:rPr>
          <w:b/>
          <w:bCs/>
        </w:rPr>
        <w:t>Recent Period:</w:t>
      </w:r>
      <w:r>
        <w:t xml:space="preserve"> The spread continues to be negative (favorable for the long-low/short-high strategy) in recent years, suggesting the anomaly persists despite increased awareness.</w:t>
      </w:r>
    </w:p>
    <w:p w14:paraId="64254930" w14:textId="77777777" w:rsidR="002141A1" w:rsidRDefault="00000000">
      <w:pPr>
        <w:spacing w:after="120"/>
      </w:pPr>
      <w:r>
        <w:t>The plots reveal that while individual months can show high volatility, the consistent underperformance of high-accrual stocks relative to low-accrual stocks is evident across the sample period. The strategy's performance does not appear to be driven by a few outlier periods but represents a persistent pattern.</w:t>
      </w:r>
    </w:p>
    <w:p w14:paraId="0575A64F" w14:textId="77777777" w:rsidR="002141A1" w:rsidRDefault="00000000">
      <w:r>
        <w:br w:type="page"/>
      </w:r>
    </w:p>
    <w:p w14:paraId="0D79DF72" w14:textId="77777777" w:rsidR="002141A1" w:rsidRDefault="00000000">
      <w:pPr>
        <w:pStyle w:val="Heading2"/>
      </w:pPr>
      <w:bookmarkStart w:id="13" w:name="_Toc215956851"/>
      <w:r>
        <w:t>3.4 Additional Analysis</w:t>
      </w:r>
      <w:bookmarkEnd w:id="13"/>
    </w:p>
    <w:p w14:paraId="177DDB7A" w14:textId="77777777" w:rsidR="002141A1" w:rsidRDefault="00000000">
      <w:pPr>
        <w:pStyle w:val="Heading3"/>
      </w:pPr>
      <w:bookmarkStart w:id="14" w:name="_Toc215956852"/>
      <w:r>
        <w:t>3.4.1 January Effect</w:t>
      </w:r>
      <w:bookmarkEnd w:id="14"/>
    </w:p>
    <w:p w14:paraId="5259A099" w14:textId="77777777" w:rsidR="002141A1" w:rsidRDefault="00000000">
      <w:pPr>
        <w:spacing w:after="120"/>
      </w:pPr>
      <w:r>
        <w:t>We test whether the accrual anomaly exhibits seasonality, particularly the well-known January effect. Table 4 presents the comparison of returns in January versus other months.</w:t>
      </w:r>
    </w:p>
    <w:p w14:paraId="53730026" w14:textId="77777777" w:rsidR="002141A1" w:rsidRDefault="00000000">
      <w:pPr>
        <w:spacing w:before="120" w:after="80"/>
        <w:jc w:val="center"/>
      </w:pPr>
      <w:r>
        <w:rPr>
          <w:b/>
          <w:bCs/>
        </w:rPr>
        <w:t>Table 4: January vs. Other Months - Mean Monthly Returns (%)</w:t>
      </w:r>
    </w:p>
    <w:tbl>
      <w:tblPr>
        <w:tblW w:w="100" w:type="auto"/>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378"/>
        <w:gridCol w:w="1273"/>
        <w:gridCol w:w="1271"/>
        <w:gridCol w:w="1281"/>
        <w:gridCol w:w="1273"/>
        <w:gridCol w:w="1271"/>
        <w:gridCol w:w="1281"/>
      </w:tblGrid>
      <w:tr w:rsidR="002141A1" w14:paraId="4B183182" w14:textId="77777777">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3D3D3"/>
          </w:tcPr>
          <w:p w14:paraId="7DD9813A" w14:textId="77777777" w:rsidR="002141A1" w:rsidRDefault="002141A1">
            <w:pPr>
              <w:jc w:val="center"/>
            </w:pPr>
          </w:p>
        </w:tc>
        <w:tc>
          <w:tcPr>
            <w:tcW w:w="1300" w:type="dxa"/>
            <w:gridSpan w:val="3"/>
            <w:tcBorders>
              <w:top w:val="single" w:sz="1" w:space="0" w:color="000000"/>
              <w:left w:val="single" w:sz="1" w:space="0" w:color="000000"/>
              <w:bottom w:val="single" w:sz="1" w:space="0" w:color="000000"/>
              <w:right w:val="single" w:sz="1" w:space="0" w:color="000000"/>
            </w:tcBorders>
            <w:shd w:val="clear" w:color="auto" w:fill="D3D3D3"/>
          </w:tcPr>
          <w:p w14:paraId="1C3F7C98" w14:textId="77777777" w:rsidR="002141A1" w:rsidRDefault="00000000">
            <w:pPr>
              <w:jc w:val="center"/>
            </w:pPr>
            <w:r>
              <w:rPr>
                <w:b/>
                <w:bCs/>
                <w:sz w:val="18"/>
                <w:szCs w:val="18"/>
              </w:rPr>
              <w:t>Value-Weighted</w:t>
            </w:r>
          </w:p>
        </w:tc>
        <w:tc>
          <w:tcPr>
            <w:tcW w:w="1300" w:type="dxa"/>
            <w:gridSpan w:val="3"/>
            <w:tcBorders>
              <w:top w:val="single" w:sz="1" w:space="0" w:color="000000"/>
              <w:left w:val="single" w:sz="1" w:space="0" w:color="000000"/>
              <w:bottom w:val="single" w:sz="1" w:space="0" w:color="000000"/>
              <w:right w:val="single" w:sz="1" w:space="0" w:color="000000"/>
            </w:tcBorders>
            <w:shd w:val="clear" w:color="auto" w:fill="D3D3D3"/>
          </w:tcPr>
          <w:p w14:paraId="4A9B83B2" w14:textId="77777777" w:rsidR="002141A1" w:rsidRDefault="00000000">
            <w:pPr>
              <w:jc w:val="center"/>
            </w:pPr>
            <w:r>
              <w:rPr>
                <w:b/>
                <w:bCs/>
                <w:sz w:val="18"/>
                <w:szCs w:val="18"/>
              </w:rPr>
              <w:t>Equal-Weighted</w:t>
            </w:r>
          </w:p>
        </w:tc>
      </w:tr>
      <w:tr w:rsidR="002141A1" w14:paraId="516F76FA" w14:textId="77777777">
        <w:trPr>
          <w:tblHeader/>
        </w:trPr>
        <w:tc>
          <w:tcPr>
            <w:tcW w:w="1400" w:type="dxa"/>
            <w:tcBorders>
              <w:top w:val="single" w:sz="1" w:space="0" w:color="000000"/>
              <w:left w:val="single" w:sz="1" w:space="0" w:color="000000"/>
              <w:bottom w:val="single" w:sz="1" w:space="0" w:color="000000"/>
              <w:right w:val="single" w:sz="1" w:space="0" w:color="000000"/>
            </w:tcBorders>
            <w:shd w:val="clear" w:color="auto" w:fill="D3D3D3"/>
          </w:tcPr>
          <w:p w14:paraId="7A302D00" w14:textId="77777777" w:rsidR="002141A1" w:rsidRDefault="00000000">
            <w:pPr>
              <w:jc w:val="center"/>
            </w:pPr>
            <w:r>
              <w:rPr>
                <w:b/>
                <w:bCs/>
                <w:sz w:val="18"/>
                <w:szCs w:val="18"/>
              </w:rPr>
              <w:t>Period</w:t>
            </w:r>
          </w:p>
        </w:tc>
        <w:tc>
          <w:tcPr>
            <w:tcW w:w="1300" w:type="dxa"/>
            <w:tcBorders>
              <w:top w:val="single" w:sz="1" w:space="0" w:color="000000"/>
              <w:left w:val="single" w:sz="1" w:space="0" w:color="000000"/>
              <w:bottom w:val="single" w:sz="1" w:space="0" w:color="000000"/>
              <w:right w:val="single" w:sz="1" w:space="0" w:color="000000"/>
            </w:tcBorders>
            <w:shd w:val="clear" w:color="auto" w:fill="D3D3D3"/>
          </w:tcPr>
          <w:p w14:paraId="253B64F8" w14:textId="77777777" w:rsidR="002141A1" w:rsidRDefault="00000000">
            <w:pPr>
              <w:jc w:val="center"/>
            </w:pPr>
            <w:r>
              <w:rPr>
                <w:b/>
                <w:bCs/>
                <w:sz w:val="18"/>
                <w:szCs w:val="18"/>
              </w:rPr>
              <w:t>Lo10</w:t>
            </w:r>
          </w:p>
        </w:tc>
        <w:tc>
          <w:tcPr>
            <w:tcW w:w="1300" w:type="dxa"/>
            <w:tcBorders>
              <w:top w:val="single" w:sz="1" w:space="0" w:color="000000"/>
              <w:left w:val="single" w:sz="1" w:space="0" w:color="000000"/>
              <w:bottom w:val="single" w:sz="1" w:space="0" w:color="000000"/>
              <w:right w:val="single" w:sz="1" w:space="0" w:color="000000"/>
            </w:tcBorders>
            <w:shd w:val="clear" w:color="auto" w:fill="D3D3D3"/>
          </w:tcPr>
          <w:p w14:paraId="729D3D41" w14:textId="77777777" w:rsidR="002141A1" w:rsidRDefault="00000000">
            <w:pPr>
              <w:jc w:val="center"/>
            </w:pPr>
            <w:r>
              <w:rPr>
                <w:b/>
                <w:bCs/>
                <w:sz w:val="18"/>
                <w:szCs w:val="18"/>
              </w:rPr>
              <w:t>Hi10</w:t>
            </w:r>
          </w:p>
        </w:tc>
        <w:tc>
          <w:tcPr>
            <w:tcW w:w="1300" w:type="dxa"/>
            <w:tcBorders>
              <w:top w:val="single" w:sz="1" w:space="0" w:color="000000"/>
              <w:left w:val="single" w:sz="1" w:space="0" w:color="000000"/>
              <w:bottom w:val="single" w:sz="1" w:space="0" w:color="000000"/>
              <w:right w:val="single" w:sz="1" w:space="0" w:color="000000"/>
            </w:tcBorders>
            <w:shd w:val="clear" w:color="auto" w:fill="D3D3D3"/>
          </w:tcPr>
          <w:p w14:paraId="1543EB8A" w14:textId="77777777" w:rsidR="002141A1" w:rsidRDefault="00000000">
            <w:pPr>
              <w:jc w:val="center"/>
            </w:pPr>
            <w:r>
              <w:rPr>
                <w:b/>
                <w:bCs/>
                <w:sz w:val="18"/>
                <w:szCs w:val="18"/>
              </w:rPr>
              <w:t>Spread</w:t>
            </w:r>
          </w:p>
        </w:tc>
        <w:tc>
          <w:tcPr>
            <w:tcW w:w="1300" w:type="dxa"/>
            <w:tcBorders>
              <w:top w:val="single" w:sz="1" w:space="0" w:color="000000"/>
              <w:left w:val="single" w:sz="1" w:space="0" w:color="000000"/>
              <w:bottom w:val="single" w:sz="1" w:space="0" w:color="000000"/>
              <w:right w:val="single" w:sz="1" w:space="0" w:color="000000"/>
            </w:tcBorders>
            <w:shd w:val="clear" w:color="auto" w:fill="D3D3D3"/>
          </w:tcPr>
          <w:p w14:paraId="69AFC999" w14:textId="77777777" w:rsidR="002141A1" w:rsidRDefault="00000000">
            <w:pPr>
              <w:jc w:val="center"/>
            </w:pPr>
            <w:r>
              <w:rPr>
                <w:b/>
                <w:bCs/>
                <w:sz w:val="18"/>
                <w:szCs w:val="18"/>
              </w:rPr>
              <w:t>Lo10</w:t>
            </w:r>
          </w:p>
        </w:tc>
        <w:tc>
          <w:tcPr>
            <w:tcW w:w="1300" w:type="dxa"/>
            <w:tcBorders>
              <w:top w:val="single" w:sz="1" w:space="0" w:color="000000"/>
              <w:left w:val="single" w:sz="1" w:space="0" w:color="000000"/>
              <w:bottom w:val="single" w:sz="1" w:space="0" w:color="000000"/>
              <w:right w:val="single" w:sz="1" w:space="0" w:color="000000"/>
            </w:tcBorders>
            <w:shd w:val="clear" w:color="auto" w:fill="D3D3D3"/>
          </w:tcPr>
          <w:p w14:paraId="17D5E2D4" w14:textId="77777777" w:rsidR="002141A1" w:rsidRDefault="00000000">
            <w:pPr>
              <w:jc w:val="center"/>
            </w:pPr>
            <w:r>
              <w:rPr>
                <w:b/>
                <w:bCs/>
                <w:sz w:val="18"/>
                <w:szCs w:val="18"/>
              </w:rPr>
              <w:t>Hi10</w:t>
            </w:r>
          </w:p>
        </w:tc>
        <w:tc>
          <w:tcPr>
            <w:tcW w:w="1300" w:type="dxa"/>
            <w:tcBorders>
              <w:top w:val="single" w:sz="1" w:space="0" w:color="000000"/>
              <w:left w:val="single" w:sz="1" w:space="0" w:color="000000"/>
              <w:bottom w:val="single" w:sz="1" w:space="0" w:color="000000"/>
              <w:right w:val="single" w:sz="1" w:space="0" w:color="000000"/>
            </w:tcBorders>
            <w:shd w:val="clear" w:color="auto" w:fill="D3D3D3"/>
          </w:tcPr>
          <w:p w14:paraId="036B963E" w14:textId="77777777" w:rsidR="002141A1" w:rsidRDefault="00000000">
            <w:pPr>
              <w:jc w:val="center"/>
            </w:pPr>
            <w:r>
              <w:rPr>
                <w:b/>
                <w:bCs/>
                <w:sz w:val="18"/>
                <w:szCs w:val="18"/>
              </w:rPr>
              <w:t>Spread</w:t>
            </w:r>
          </w:p>
        </w:tc>
      </w:tr>
      <w:tr w:rsidR="002141A1" w14:paraId="717D5BB5" w14:textId="77777777">
        <w:tc>
          <w:tcPr>
            <w:tcW w:w="1400" w:type="dxa"/>
            <w:tcBorders>
              <w:top w:val="single" w:sz="1" w:space="0" w:color="000000"/>
              <w:left w:val="single" w:sz="1" w:space="0" w:color="000000"/>
              <w:bottom w:val="single" w:sz="1" w:space="0" w:color="000000"/>
              <w:right w:val="single" w:sz="1" w:space="0" w:color="000000"/>
            </w:tcBorders>
          </w:tcPr>
          <w:p w14:paraId="3C344656" w14:textId="77777777" w:rsidR="002141A1" w:rsidRDefault="00000000">
            <w:r>
              <w:rPr>
                <w:sz w:val="18"/>
                <w:szCs w:val="18"/>
              </w:rPr>
              <w:t>January</w:t>
            </w:r>
          </w:p>
        </w:tc>
        <w:tc>
          <w:tcPr>
            <w:tcW w:w="1300" w:type="dxa"/>
            <w:tcBorders>
              <w:top w:val="single" w:sz="1" w:space="0" w:color="000000"/>
              <w:left w:val="single" w:sz="1" w:space="0" w:color="000000"/>
              <w:bottom w:val="single" w:sz="1" w:space="0" w:color="000000"/>
              <w:right w:val="single" w:sz="1" w:space="0" w:color="000000"/>
            </w:tcBorders>
          </w:tcPr>
          <w:p w14:paraId="3C7B3233" w14:textId="77777777" w:rsidR="002141A1" w:rsidRDefault="00000000">
            <w:pPr>
              <w:jc w:val="right"/>
            </w:pPr>
            <w:r>
              <w:rPr>
                <w:sz w:val="18"/>
                <w:szCs w:val="18"/>
              </w:rPr>
              <w:t>2.21</w:t>
            </w:r>
          </w:p>
        </w:tc>
        <w:tc>
          <w:tcPr>
            <w:tcW w:w="1300" w:type="dxa"/>
            <w:tcBorders>
              <w:top w:val="single" w:sz="1" w:space="0" w:color="000000"/>
              <w:left w:val="single" w:sz="1" w:space="0" w:color="000000"/>
              <w:bottom w:val="single" w:sz="1" w:space="0" w:color="000000"/>
              <w:right w:val="single" w:sz="1" w:space="0" w:color="000000"/>
            </w:tcBorders>
          </w:tcPr>
          <w:p w14:paraId="5D41AA03" w14:textId="77777777" w:rsidR="002141A1" w:rsidRDefault="00000000">
            <w:pPr>
              <w:jc w:val="right"/>
            </w:pPr>
            <w:r>
              <w:rPr>
                <w:sz w:val="18"/>
                <w:szCs w:val="18"/>
              </w:rPr>
              <w:t>1.79</w:t>
            </w:r>
          </w:p>
        </w:tc>
        <w:tc>
          <w:tcPr>
            <w:tcW w:w="1300" w:type="dxa"/>
            <w:tcBorders>
              <w:top w:val="single" w:sz="1" w:space="0" w:color="000000"/>
              <w:left w:val="single" w:sz="1" w:space="0" w:color="000000"/>
              <w:bottom w:val="single" w:sz="1" w:space="0" w:color="000000"/>
              <w:right w:val="single" w:sz="1" w:space="0" w:color="000000"/>
            </w:tcBorders>
          </w:tcPr>
          <w:p w14:paraId="3B242CFA" w14:textId="77777777" w:rsidR="002141A1" w:rsidRDefault="00000000">
            <w:pPr>
              <w:jc w:val="right"/>
            </w:pPr>
            <w:r>
              <w:rPr>
                <w:sz w:val="18"/>
                <w:szCs w:val="18"/>
              </w:rPr>
              <w:t>-0.42</w:t>
            </w:r>
          </w:p>
        </w:tc>
        <w:tc>
          <w:tcPr>
            <w:tcW w:w="1300" w:type="dxa"/>
            <w:tcBorders>
              <w:top w:val="single" w:sz="1" w:space="0" w:color="000000"/>
              <w:left w:val="single" w:sz="1" w:space="0" w:color="000000"/>
              <w:bottom w:val="single" w:sz="1" w:space="0" w:color="000000"/>
              <w:right w:val="single" w:sz="1" w:space="0" w:color="000000"/>
            </w:tcBorders>
          </w:tcPr>
          <w:p w14:paraId="75DE3E45" w14:textId="77777777" w:rsidR="002141A1" w:rsidRDefault="00000000">
            <w:pPr>
              <w:jc w:val="right"/>
            </w:pPr>
            <w:r>
              <w:rPr>
                <w:sz w:val="18"/>
                <w:szCs w:val="18"/>
              </w:rPr>
              <w:t>7.17</w:t>
            </w:r>
          </w:p>
        </w:tc>
        <w:tc>
          <w:tcPr>
            <w:tcW w:w="1300" w:type="dxa"/>
            <w:tcBorders>
              <w:top w:val="single" w:sz="1" w:space="0" w:color="000000"/>
              <w:left w:val="single" w:sz="1" w:space="0" w:color="000000"/>
              <w:bottom w:val="single" w:sz="1" w:space="0" w:color="000000"/>
              <w:right w:val="single" w:sz="1" w:space="0" w:color="000000"/>
            </w:tcBorders>
          </w:tcPr>
          <w:p w14:paraId="6A07D9E5" w14:textId="77777777" w:rsidR="002141A1" w:rsidRDefault="00000000">
            <w:pPr>
              <w:jc w:val="right"/>
            </w:pPr>
            <w:r>
              <w:rPr>
                <w:sz w:val="18"/>
                <w:szCs w:val="18"/>
              </w:rPr>
              <w:t>6.39</w:t>
            </w:r>
          </w:p>
        </w:tc>
        <w:tc>
          <w:tcPr>
            <w:tcW w:w="1300" w:type="dxa"/>
            <w:tcBorders>
              <w:top w:val="single" w:sz="1" w:space="0" w:color="000000"/>
              <w:left w:val="single" w:sz="1" w:space="0" w:color="000000"/>
              <w:bottom w:val="single" w:sz="1" w:space="0" w:color="000000"/>
              <w:right w:val="single" w:sz="1" w:space="0" w:color="000000"/>
            </w:tcBorders>
          </w:tcPr>
          <w:p w14:paraId="4A3F17B5" w14:textId="77777777" w:rsidR="002141A1" w:rsidRDefault="00000000">
            <w:pPr>
              <w:jc w:val="right"/>
            </w:pPr>
            <w:r>
              <w:rPr>
                <w:sz w:val="18"/>
                <w:szCs w:val="18"/>
              </w:rPr>
              <w:t>-0.78</w:t>
            </w:r>
          </w:p>
        </w:tc>
      </w:tr>
      <w:tr w:rsidR="002141A1" w14:paraId="32AA593E" w14:textId="77777777">
        <w:tc>
          <w:tcPr>
            <w:tcW w:w="1400" w:type="dxa"/>
            <w:tcBorders>
              <w:top w:val="single" w:sz="1" w:space="0" w:color="000000"/>
              <w:left w:val="single" w:sz="1" w:space="0" w:color="000000"/>
              <w:bottom w:val="single" w:sz="1" w:space="0" w:color="000000"/>
              <w:right w:val="single" w:sz="1" w:space="0" w:color="000000"/>
            </w:tcBorders>
          </w:tcPr>
          <w:p w14:paraId="7134309A" w14:textId="77777777" w:rsidR="002141A1" w:rsidRDefault="00000000">
            <w:r>
              <w:rPr>
                <w:sz w:val="18"/>
                <w:szCs w:val="18"/>
              </w:rPr>
              <w:t>Other Months</w:t>
            </w:r>
          </w:p>
        </w:tc>
        <w:tc>
          <w:tcPr>
            <w:tcW w:w="1300" w:type="dxa"/>
            <w:tcBorders>
              <w:top w:val="single" w:sz="1" w:space="0" w:color="000000"/>
              <w:left w:val="single" w:sz="1" w:space="0" w:color="000000"/>
              <w:bottom w:val="single" w:sz="1" w:space="0" w:color="000000"/>
              <w:right w:val="single" w:sz="1" w:space="0" w:color="000000"/>
            </w:tcBorders>
          </w:tcPr>
          <w:p w14:paraId="7A397BE7" w14:textId="77777777" w:rsidR="002141A1" w:rsidRDefault="00000000">
            <w:pPr>
              <w:jc w:val="right"/>
            </w:pPr>
            <w:r>
              <w:rPr>
                <w:sz w:val="18"/>
                <w:szCs w:val="18"/>
              </w:rPr>
              <w:t>1.02</w:t>
            </w:r>
          </w:p>
        </w:tc>
        <w:tc>
          <w:tcPr>
            <w:tcW w:w="1300" w:type="dxa"/>
            <w:tcBorders>
              <w:top w:val="single" w:sz="1" w:space="0" w:color="000000"/>
              <w:left w:val="single" w:sz="1" w:space="0" w:color="000000"/>
              <w:bottom w:val="single" w:sz="1" w:space="0" w:color="000000"/>
              <w:right w:val="single" w:sz="1" w:space="0" w:color="000000"/>
            </w:tcBorders>
          </w:tcPr>
          <w:p w14:paraId="0A5345C8" w14:textId="77777777" w:rsidR="002141A1" w:rsidRDefault="00000000">
            <w:pPr>
              <w:jc w:val="right"/>
            </w:pPr>
            <w:r>
              <w:rPr>
                <w:sz w:val="18"/>
                <w:szCs w:val="18"/>
              </w:rPr>
              <w:t>0.74</w:t>
            </w:r>
          </w:p>
        </w:tc>
        <w:tc>
          <w:tcPr>
            <w:tcW w:w="1300" w:type="dxa"/>
            <w:tcBorders>
              <w:top w:val="single" w:sz="1" w:space="0" w:color="000000"/>
              <w:left w:val="single" w:sz="1" w:space="0" w:color="000000"/>
              <w:bottom w:val="single" w:sz="1" w:space="0" w:color="000000"/>
              <w:right w:val="single" w:sz="1" w:space="0" w:color="000000"/>
            </w:tcBorders>
          </w:tcPr>
          <w:p w14:paraId="37A8BCAF" w14:textId="77777777" w:rsidR="002141A1" w:rsidRDefault="00000000">
            <w:pPr>
              <w:jc w:val="right"/>
            </w:pPr>
            <w:r>
              <w:rPr>
                <w:sz w:val="18"/>
                <w:szCs w:val="18"/>
              </w:rPr>
              <w:t>-0.29</w:t>
            </w:r>
          </w:p>
        </w:tc>
        <w:tc>
          <w:tcPr>
            <w:tcW w:w="1300" w:type="dxa"/>
            <w:tcBorders>
              <w:top w:val="single" w:sz="1" w:space="0" w:color="000000"/>
              <w:left w:val="single" w:sz="1" w:space="0" w:color="000000"/>
              <w:bottom w:val="single" w:sz="1" w:space="0" w:color="000000"/>
              <w:right w:val="single" w:sz="1" w:space="0" w:color="000000"/>
            </w:tcBorders>
          </w:tcPr>
          <w:p w14:paraId="5F5B53CC" w14:textId="77777777" w:rsidR="002141A1" w:rsidRDefault="00000000">
            <w:pPr>
              <w:jc w:val="right"/>
            </w:pPr>
            <w:r>
              <w:rPr>
                <w:sz w:val="18"/>
                <w:szCs w:val="18"/>
              </w:rPr>
              <w:t>0.72</w:t>
            </w:r>
          </w:p>
        </w:tc>
        <w:tc>
          <w:tcPr>
            <w:tcW w:w="1300" w:type="dxa"/>
            <w:tcBorders>
              <w:top w:val="single" w:sz="1" w:space="0" w:color="000000"/>
              <w:left w:val="single" w:sz="1" w:space="0" w:color="000000"/>
              <w:bottom w:val="single" w:sz="1" w:space="0" w:color="000000"/>
              <w:right w:val="single" w:sz="1" w:space="0" w:color="000000"/>
            </w:tcBorders>
          </w:tcPr>
          <w:p w14:paraId="4DAAAB3A" w14:textId="77777777" w:rsidR="002141A1" w:rsidRDefault="00000000">
            <w:pPr>
              <w:jc w:val="right"/>
            </w:pPr>
            <w:r>
              <w:rPr>
                <w:sz w:val="18"/>
                <w:szCs w:val="18"/>
              </w:rPr>
              <w:t>0.40</w:t>
            </w:r>
          </w:p>
        </w:tc>
        <w:tc>
          <w:tcPr>
            <w:tcW w:w="1300" w:type="dxa"/>
            <w:tcBorders>
              <w:top w:val="single" w:sz="1" w:space="0" w:color="000000"/>
              <w:left w:val="single" w:sz="1" w:space="0" w:color="000000"/>
              <w:bottom w:val="single" w:sz="1" w:space="0" w:color="000000"/>
              <w:right w:val="single" w:sz="1" w:space="0" w:color="000000"/>
            </w:tcBorders>
          </w:tcPr>
          <w:p w14:paraId="27779C0D" w14:textId="77777777" w:rsidR="002141A1" w:rsidRDefault="00000000">
            <w:pPr>
              <w:jc w:val="right"/>
            </w:pPr>
            <w:r>
              <w:rPr>
                <w:sz w:val="18"/>
                <w:szCs w:val="18"/>
              </w:rPr>
              <w:t>-0.33</w:t>
            </w:r>
          </w:p>
        </w:tc>
      </w:tr>
    </w:tbl>
    <w:p w14:paraId="4C2E740B" w14:textId="77777777" w:rsidR="002141A1" w:rsidRDefault="00000000">
      <w:pPr>
        <w:spacing w:before="40" w:after="160"/>
        <w:jc w:val="center"/>
      </w:pPr>
      <w:r>
        <w:rPr>
          <w:i/>
          <w:iCs/>
          <w:sz w:val="18"/>
          <w:szCs w:val="18"/>
        </w:rPr>
        <w:t>t-test (VW): t=-0.35, p=0.72 | t-test (EW): t=-1.87, p=0.06</w:t>
      </w:r>
    </w:p>
    <w:p w14:paraId="2D269FA4" w14:textId="77777777" w:rsidR="002141A1" w:rsidRDefault="00000000">
      <w:pPr>
        <w:spacing w:after="120"/>
      </w:pPr>
      <w:r>
        <w:t>The January effect analysis reveals interesting patterns. Both portfolios show elevated January returns, particularly for equal-weighted portfolios where January returns are substantially higher (7.17% for Lo10 vs. 0.72% in other months). However, the spread portfolio does not show statistically significant differences between January and other months (p=0.72 for VW, p=0.06 for EW). This suggests that while there is a general January effect in small cap stocks, it does not differentially affect the accrual anomaly.</w:t>
      </w:r>
    </w:p>
    <w:p w14:paraId="3DC721A8" w14:textId="77777777" w:rsidR="002141A1" w:rsidRDefault="00000000">
      <w:pPr>
        <w:pStyle w:val="Heading3"/>
      </w:pPr>
      <w:bookmarkStart w:id="15" w:name="_Toc215956853"/>
      <w:r>
        <w:t>3.4.2 Cumulative Returns</w:t>
      </w:r>
      <w:bookmarkEnd w:id="15"/>
    </w:p>
    <w:p w14:paraId="1B630406" w14:textId="77777777" w:rsidR="002141A1" w:rsidRDefault="00000000">
      <w:pPr>
        <w:spacing w:after="120"/>
      </w:pPr>
      <w:r>
        <w:t>Figure 5 and 6 present cumulative returns assuming $1 invested at the start of the sample period. The dramatic difference in outcomes is evident:</w:t>
      </w:r>
    </w:p>
    <w:p w14:paraId="409E136D" w14:textId="77777777" w:rsidR="002141A1" w:rsidRDefault="00000000">
      <w:pPr>
        <w:pStyle w:val="ListParagraph"/>
        <w:numPr>
          <w:ilvl w:val="0"/>
          <w:numId w:val="2"/>
        </w:numPr>
      </w:pPr>
      <w:r>
        <w:rPr>
          <w:b/>
          <w:bCs/>
        </w:rPr>
        <w:t>Value-Weighted:</w:t>
      </w:r>
      <w:r>
        <w:t xml:space="preserve"> $1 in low-accrual stocks would have grown to $1,327, while $1 in high-accrual stocks would have grown to only $128. The spread portfolio compounds to just $0.08, reflecting the 3.57% annual underperformance.</w:t>
      </w:r>
    </w:p>
    <w:p w14:paraId="0B5C0DC0" w14:textId="77777777" w:rsidR="002141A1" w:rsidRDefault="00000000">
      <w:pPr>
        <w:pStyle w:val="ListParagraph"/>
        <w:numPr>
          <w:ilvl w:val="0"/>
          <w:numId w:val="2"/>
        </w:numPr>
        <w:spacing w:after="120"/>
      </w:pPr>
      <w:r>
        <w:rPr>
          <w:b/>
          <w:bCs/>
        </w:rPr>
        <w:t>Equal-Weighted:</w:t>
      </w:r>
      <w:r>
        <w:t xml:space="preserve"> $1 in low-accrual stocks would have grown to $1,631, while $1 in high-accrual stocks would have grown to only $109. The spread portfolio compounds to just $0.06.</w:t>
      </w:r>
    </w:p>
    <w:p w14:paraId="6588275C" w14:textId="77777777" w:rsidR="002141A1" w:rsidRDefault="00000000">
      <w:pPr>
        <w:spacing w:after="120"/>
      </w:pPr>
      <w:r>
        <w:t>These cumulative return patterns demonstrate the economic significance of the accrual anomaly over the long term. The compounding effect of the annual return differences results in dramatically different wealth outcomes for investors.</w:t>
      </w:r>
    </w:p>
    <w:p w14:paraId="335ADF7F" w14:textId="77777777" w:rsidR="002141A1" w:rsidRDefault="00000000">
      <w:r>
        <w:br w:type="page"/>
      </w:r>
    </w:p>
    <w:p w14:paraId="403CD444" w14:textId="77777777" w:rsidR="002141A1" w:rsidRDefault="00000000">
      <w:pPr>
        <w:pStyle w:val="Heading1"/>
      </w:pPr>
      <w:bookmarkStart w:id="16" w:name="_Toc215956854"/>
      <w:r>
        <w:t>4. Conclusion and Implications</w:t>
      </w:r>
      <w:bookmarkEnd w:id="16"/>
    </w:p>
    <w:p w14:paraId="78A81954" w14:textId="77777777" w:rsidR="002141A1" w:rsidRDefault="00000000">
      <w:pPr>
        <w:pStyle w:val="Heading2"/>
      </w:pPr>
      <w:bookmarkStart w:id="17" w:name="_Toc215956855"/>
      <w:r>
        <w:t>4.1 Summary of Findings</w:t>
      </w:r>
      <w:bookmarkEnd w:id="17"/>
    </w:p>
    <w:p w14:paraId="63E0A98B" w14:textId="77777777" w:rsidR="002141A1" w:rsidRDefault="00000000">
      <w:pPr>
        <w:spacing w:after="120"/>
      </w:pPr>
      <w:r>
        <w:t>This empirical analysis provides strong evidence for the persistence and economic significance of the accrual anomaly from 1963 to 2025. Our key findings include:</w:t>
      </w:r>
    </w:p>
    <w:p w14:paraId="3CD5276B" w14:textId="77777777" w:rsidR="002141A1" w:rsidRDefault="00000000">
      <w:pPr>
        <w:pStyle w:val="ListParagraph"/>
        <w:numPr>
          <w:ilvl w:val="0"/>
          <w:numId w:val="2"/>
        </w:numPr>
      </w:pPr>
      <w:r>
        <w:t>Low-accrual stocks significantly outperform high-accrual stocks by approximately 3.57% annually (VW) and 4.38% annually (EW), with t-statistics of -2.80 and -5.47 respectively.</w:t>
      </w:r>
    </w:p>
    <w:p w14:paraId="5855F941" w14:textId="77777777" w:rsidR="002141A1" w:rsidRDefault="00000000">
      <w:pPr>
        <w:pStyle w:val="ListParagraph"/>
        <w:numPr>
          <w:ilvl w:val="0"/>
          <w:numId w:val="2"/>
        </w:numPr>
      </w:pPr>
      <w:r>
        <w:t>The anomaly is persistent across most decades, though it weakened in the 1980s and 2000s.</w:t>
      </w:r>
    </w:p>
    <w:p w14:paraId="75481418" w14:textId="77777777" w:rsidR="002141A1" w:rsidRDefault="00000000">
      <w:pPr>
        <w:pStyle w:val="ListParagraph"/>
        <w:numPr>
          <w:ilvl w:val="0"/>
          <w:numId w:val="2"/>
        </w:numPr>
      </w:pPr>
      <w:r>
        <w:t>The effect is stronger in equal-weighted portfolios, suggesting it is more pronounced in smaller firms.</w:t>
      </w:r>
    </w:p>
    <w:p w14:paraId="6937C29E" w14:textId="77777777" w:rsidR="002141A1" w:rsidRDefault="00000000">
      <w:pPr>
        <w:pStyle w:val="ListParagraph"/>
        <w:numPr>
          <w:ilvl w:val="0"/>
          <w:numId w:val="2"/>
        </w:numPr>
      </w:pPr>
      <w:r>
        <w:t>Returns are concentrated in expansion periods, with virtually no spread returns during recessions.</w:t>
      </w:r>
    </w:p>
    <w:p w14:paraId="1B3228CD" w14:textId="77777777" w:rsidR="002141A1" w:rsidRDefault="00000000">
      <w:pPr>
        <w:pStyle w:val="ListParagraph"/>
        <w:numPr>
          <w:ilvl w:val="0"/>
          <w:numId w:val="2"/>
        </w:numPr>
        <w:spacing w:after="120"/>
      </w:pPr>
      <w:r>
        <w:t>The cumulative wealth impact is substantial, with low-accrual portfolios generating 10-15 times the terminal wealth of high-accrual portfolios.</w:t>
      </w:r>
    </w:p>
    <w:p w14:paraId="6E540E8C" w14:textId="77777777" w:rsidR="002141A1" w:rsidRDefault="00000000">
      <w:pPr>
        <w:pStyle w:val="Heading2"/>
      </w:pPr>
      <w:bookmarkStart w:id="18" w:name="_Toc215956856"/>
      <w:r>
        <w:t>4.2 Implications for Investors</w:t>
      </w:r>
      <w:bookmarkEnd w:id="18"/>
    </w:p>
    <w:p w14:paraId="29BEF50A" w14:textId="77777777" w:rsidR="002141A1" w:rsidRDefault="00000000">
      <w:pPr>
        <w:spacing w:after="80"/>
      </w:pPr>
      <w:r>
        <w:t>The accrual anomaly has several important implications for investment practice:</w:t>
      </w:r>
    </w:p>
    <w:p w14:paraId="1DCB54EE" w14:textId="77777777" w:rsidR="002141A1" w:rsidRDefault="00000000">
      <w:pPr>
        <w:pStyle w:val="ListParagraph"/>
        <w:numPr>
          <w:ilvl w:val="0"/>
          <w:numId w:val="2"/>
        </w:numPr>
      </w:pPr>
      <w:r>
        <w:rPr>
          <w:b/>
          <w:bCs/>
        </w:rPr>
        <w:t>Quality Screening:</w:t>
      </w:r>
      <w:r>
        <w:t xml:space="preserve"> Investors should consider incorporating accrual analysis into their stock selection process, favoring firms with lower accruals and more cash-flow-based earnings.</w:t>
      </w:r>
    </w:p>
    <w:p w14:paraId="1C85EF34" w14:textId="77777777" w:rsidR="002141A1" w:rsidRDefault="00000000">
      <w:pPr>
        <w:pStyle w:val="ListParagraph"/>
        <w:numPr>
          <w:ilvl w:val="0"/>
          <w:numId w:val="2"/>
        </w:numPr>
      </w:pPr>
      <w:r>
        <w:rPr>
          <w:b/>
          <w:bCs/>
        </w:rPr>
        <w:t>Long-Short Strategies:</w:t>
      </w:r>
      <w:r>
        <w:t xml:space="preserve"> Hedge funds and sophisticated investors can potentially exploit this anomaly through long-short strategies, though transaction costs and implementation challenges must be carefully considered.</w:t>
      </w:r>
    </w:p>
    <w:p w14:paraId="59364EF8" w14:textId="77777777" w:rsidR="002141A1" w:rsidRDefault="00000000">
      <w:pPr>
        <w:pStyle w:val="ListParagraph"/>
        <w:numPr>
          <w:ilvl w:val="0"/>
          <w:numId w:val="2"/>
        </w:numPr>
      </w:pPr>
      <w:r>
        <w:rPr>
          <w:b/>
          <w:bCs/>
        </w:rPr>
        <w:t>Small Cap Focus:</w:t>
      </w:r>
      <w:r>
        <w:t xml:space="preserve"> The stronger effect in equal-weighted portfolios suggests the anomaly may be more exploitable in the small cap universe where mispricing is less likely to be arbitraged away.</w:t>
      </w:r>
    </w:p>
    <w:p w14:paraId="138058F6" w14:textId="77777777" w:rsidR="002141A1" w:rsidRDefault="00000000">
      <w:pPr>
        <w:pStyle w:val="ListParagraph"/>
        <w:numPr>
          <w:ilvl w:val="0"/>
          <w:numId w:val="2"/>
        </w:numPr>
        <w:spacing w:after="120"/>
      </w:pPr>
      <w:r>
        <w:rPr>
          <w:b/>
          <w:bCs/>
        </w:rPr>
        <w:t>Risk Considerations:</w:t>
      </w:r>
      <w:r>
        <w:t xml:space="preserve"> The near-zero returns during recessions suggest the strategy does not provide downside protection during market stress, an important consideration for risk management.</w:t>
      </w:r>
    </w:p>
    <w:p w14:paraId="3DE1992E" w14:textId="77777777" w:rsidR="002141A1" w:rsidRDefault="00000000">
      <w:pPr>
        <w:pStyle w:val="Heading2"/>
      </w:pPr>
      <w:bookmarkStart w:id="19" w:name="_Toc215956857"/>
      <w:r>
        <w:t>4.3 Theoretical Implications</w:t>
      </w:r>
      <w:bookmarkEnd w:id="19"/>
    </w:p>
    <w:p w14:paraId="12BE3BF3" w14:textId="77777777" w:rsidR="002141A1" w:rsidRDefault="00000000">
      <w:pPr>
        <w:spacing w:after="120"/>
      </w:pPr>
      <w:r>
        <w:t>The persistence of the accrual anomaly, even after more than 25 years since Sloan's (1996) publication, poses a challenge to the efficient market hypothesis. Several factors may explain this persistence:</w:t>
      </w:r>
    </w:p>
    <w:p w14:paraId="270EA2A2" w14:textId="77777777" w:rsidR="002141A1" w:rsidRDefault="00000000">
      <w:pPr>
        <w:pStyle w:val="ListParagraph"/>
        <w:numPr>
          <w:ilvl w:val="0"/>
          <w:numId w:val="2"/>
        </w:numPr>
      </w:pPr>
      <w:r>
        <w:rPr>
          <w:b/>
          <w:bCs/>
        </w:rPr>
        <w:t>Limited Arbitrage:</w:t>
      </w:r>
      <w:r>
        <w:t xml:space="preserve"> Short-selling constraints, implementation costs, and holding period requirements may limit arbitrageurs' ability to fully eliminate the mispricing.</w:t>
      </w:r>
    </w:p>
    <w:p w14:paraId="7781F405" w14:textId="77777777" w:rsidR="002141A1" w:rsidRDefault="00000000">
      <w:pPr>
        <w:pStyle w:val="ListParagraph"/>
        <w:numPr>
          <w:ilvl w:val="0"/>
          <w:numId w:val="2"/>
        </w:numPr>
      </w:pPr>
      <w:r>
        <w:rPr>
          <w:b/>
          <w:bCs/>
        </w:rPr>
        <w:t>Behavioral Biases:</w:t>
      </w:r>
      <w:r>
        <w:t xml:space="preserve"> Investors may exhibit earnings fixation, failing to properly distinguish between the cash flow and accrual components of earnings.</w:t>
      </w:r>
    </w:p>
    <w:p w14:paraId="4F7B557B" w14:textId="77777777" w:rsidR="002141A1" w:rsidRDefault="00000000">
      <w:pPr>
        <w:pStyle w:val="ListParagraph"/>
        <w:numPr>
          <w:ilvl w:val="0"/>
          <w:numId w:val="2"/>
        </w:numPr>
      </w:pPr>
      <w:r>
        <w:rPr>
          <w:b/>
          <w:bCs/>
        </w:rPr>
        <w:t>Information Processing:</w:t>
      </w:r>
      <w:r>
        <w:t xml:space="preserve"> The accrual calculation requires detailed analysis of financial statements, which may exceed the attention capacity of many investors.</w:t>
      </w:r>
    </w:p>
    <w:p w14:paraId="498B3EA7" w14:textId="77777777" w:rsidR="002141A1" w:rsidRDefault="00000000">
      <w:pPr>
        <w:pStyle w:val="ListParagraph"/>
        <w:numPr>
          <w:ilvl w:val="0"/>
          <w:numId w:val="2"/>
        </w:numPr>
        <w:spacing w:after="120"/>
      </w:pPr>
      <w:r>
        <w:rPr>
          <w:b/>
          <w:bCs/>
        </w:rPr>
        <w:t>Risk Proxy:</w:t>
      </w:r>
      <w:r>
        <w:t xml:space="preserve"> High accruals may proxy for some form of unmeasured risk, though our analysis showing similar volatilities across portfolios challenges this explanation.</w:t>
      </w:r>
    </w:p>
    <w:p w14:paraId="7DEF66E1" w14:textId="77777777" w:rsidR="002141A1" w:rsidRDefault="00000000">
      <w:pPr>
        <w:pStyle w:val="Heading2"/>
      </w:pPr>
      <w:bookmarkStart w:id="20" w:name="_Toc215956858"/>
      <w:r>
        <w:t>4.4 Limitations and Future Research</w:t>
      </w:r>
      <w:bookmarkEnd w:id="20"/>
    </w:p>
    <w:p w14:paraId="644ABA40" w14:textId="77777777" w:rsidR="002141A1" w:rsidRDefault="00000000">
      <w:pPr>
        <w:spacing w:after="80"/>
      </w:pPr>
      <w:r>
        <w:t>This study has several limitations that suggest directions for future research:</w:t>
      </w:r>
    </w:p>
    <w:p w14:paraId="21D81479" w14:textId="77777777" w:rsidR="002141A1" w:rsidRDefault="00000000">
      <w:pPr>
        <w:pStyle w:val="ListParagraph"/>
        <w:numPr>
          <w:ilvl w:val="0"/>
          <w:numId w:val="2"/>
        </w:numPr>
      </w:pPr>
      <w:r>
        <w:t>We did not conduct CAPM or Fama-French three-factor regressions to fully assess risk-adjusted returns.</w:t>
      </w:r>
    </w:p>
    <w:p w14:paraId="79963D05" w14:textId="77777777" w:rsidR="002141A1" w:rsidRDefault="00000000">
      <w:pPr>
        <w:pStyle w:val="ListParagraph"/>
        <w:numPr>
          <w:ilvl w:val="0"/>
          <w:numId w:val="2"/>
        </w:numPr>
      </w:pPr>
      <w:r>
        <w:t>Transaction costs and implementation feasibility were not explicitly analyzed.</w:t>
      </w:r>
    </w:p>
    <w:p w14:paraId="13AFEB92" w14:textId="77777777" w:rsidR="002141A1" w:rsidRDefault="00000000">
      <w:pPr>
        <w:pStyle w:val="ListParagraph"/>
        <w:numPr>
          <w:ilvl w:val="0"/>
          <w:numId w:val="2"/>
        </w:numPr>
      </w:pPr>
      <w:r>
        <w:t>The analysis does not account for recent developments in machine learning and alternative data that may affect the anomaly.</w:t>
      </w:r>
    </w:p>
    <w:p w14:paraId="5EECF22A" w14:textId="77777777" w:rsidR="002141A1" w:rsidRDefault="00000000">
      <w:pPr>
        <w:pStyle w:val="ListParagraph"/>
        <w:numPr>
          <w:ilvl w:val="0"/>
          <w:numId w:val="2"/>
        </w:numPr>
        <w:spacing w:after="120"/>
      </w:pPr>
      <w:r>
        <w:t>International evidence and cross-market comparisons could provide additional insights into the anomaly's universality.</w:t>
      </w:r>
    </w:p>
    <w:p w14:paraId="431322F4" w14:textId="77777777" w:rsidR="002141A1" w:rsidRDefault="00000000">
      <w:pPr>
        <w:spacing w:after="120"/>
      </w:pPr>
      <w:r>
        <w:t>Future research could extend this analysis by incorporating more sophisticated risk adjustments, examining the interaction between accruals and other known anomalies, and investigating whether machine learning approaches can enhance the identification of accrual-based mispricing. Additionally, research into why the anomaly persists despite widespread awareness would contribute to our understanding of market efficiency and behavioral finance.</w:t>
      </w:r>
    </w:p>
    <w:p w14:paraId="5030C17B" w14:textId="77777777" w:rsidR="002141A1" w:rsidRDefault="00000000">
      <w:r>
        <w:br w:type="page"/>
      </w:r>
    </w:p>
    <w:p w14:paraId="797B7986" w14:textId="77777777" w:rsidR="002141A1" w:rsidRDefault="00000000">
      <w:pPr>
        <w:pStyle w:val="Heading1"/>
      </w:pPr>
      <w:bookmarkStart w:id="21" w:name="_Toc215956859"/>
      <w:r>
        <w:t>References</w:t>
      </w:r>
      <w:bookmarkEnd w:id="21"/>
    </w:p>
    <w:p w14:paraId="10F214D3" w14:textId="77777777" w:rsidR="002141A1" w:rsidRDefault="00000000">
      <w:pPr>
        <w:spacing w:before="120" w:after="120"/>
      </w:pPr>
      <w:r>
        <w:t xml:space="preserve">Sloan, R. G. (1996). Do stock prices fully reflect information in accruals and cash flows about future earnings? </w:t>
      </w:r>
      <w:r>
        <w:rPr>
          <w:i/>
          <w:iCs/>
        </w:rPr>
        <w:t>The Accounting Review, 71</w:t>
      </w:r>
      <w:r>
        <w:t>(3), 289-315.</w:t>
      </w:r>
    </w:p>
    <w:p w14:paraId="3215A1F8" w14:textId="77777777" w:rsidR="002141A1" w:rsidRDefault="00000000">
      <w:pPr>
        <w:spacing w:after="120"/>
      </w:pPr>
      <w:r>
        <w:t xml:space="preserve">Fama, E. F., &amp; French, K. R. (1993). Common risk factors in the returns on stocks and bonds. </w:t>
      </w:r>
      <w:r>
        <w:rPr>
          <w:i/>
          <w:iCs/>
        </w:rPr>
        <w:t>Journal of Financial Economics, 33</w:t>
      </w:r>
      <w:r>
        <w:t>(1), 3-56.</w:t>
      </w:r>
    </w:p>
    <w:p w14:paraId="002F724A" w14:textId="53476BCB" w:rsidR="002141A1" w:rsidRDefault="00000000" w:rsidP="00CA3DDE">
      <w:pPr>
        <w:spacing w:after="120"/>
      </w:pPr>
      <w:r>
        <w:t>Kenneth R. French Data Library. (2025). Portfolios Formed on Accruals. Retrieved from https://mba.tuck.dartmouth.edu/pages/faculty/ken.french/data_library.html</w:t>
      </w:r>
    </w:p>
    <w:sectPr w:rsidR="002141A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87757"/>
    <w:multiLevelType w:val="hybridMultilevel"/>
    <w:tmpl w:val="168A0F90"/>
    <w:lvl w:ilvl="0" w:tplc="88AC99E6">
      <w:start w:val="1"/>
      <w:numFmt w:val="bullet"/>
      <w:lvlText w:val="●"/>
      <w:lvlJc w:val="left"/>
      <w:pPr>
        <w:ind w:left="720" w:hanging="360"/>
      </w:pPr>
    </w:lvl>
    <w:lvl w:ilvl="1" w:tplc="B7B08708">
      <w:start w:val="1"/>
      <w:numFmt w:val="bullet"/>
      <w:lvlText w:val="○"/>
      <w:lvlJc w:val="left"/>
      <w:pPr>
        <w:ind w:left="1440" w:hanging="360"/>
      </w:pPr>
    </w:lvl>
    <w:lvl w:ilvl="2" w:tplc="BADE4B02">
      <w:start w:val="1"/>
      <w:numFmt w:val="bullet"/>
      <w:lvlText w:val="■"/>
      <w:lvlJc w:val="left"/>
      <w:pPr>
        <w:ind w:left="2160" w:hanging="360"/>
      </w:pPr>
    </w:lvl>
    <w:lvl w:ilvl="3" w:tplc="ECC4BFCA">
      <w:start w:val="1"/>
      <w:numFmt w:val="bullet"/>
      <w:lvlText w:val="●"/>
      <w:lvlJc w:val="left"/>
      <w:pPr>
        <w:ind w:left="2880" w:hanging="360"/>
      </w:pPr>
    </w:lvl>
    <w:lvl w:ilvl="4" w:tplc="25FE0276">
      <w:start w:val="1"/>
      <w:numFmt w:val="bullet"/>
      <w:lvlText w:val="○"/>
      <w:lvlJc w:val="left"/>
      <w:pPr>
        <w:ind w:left="3600" w:hanging="360"/>
      </w:pPr>
    </w:lvl>
    <w:lvl w:ilvl="5" w:tplc="BCC6A31E">
      <w:start w:val="1"/>
      <w:numFmt w:val="bullet"/>
      <w:lvlText w:val="■"/>
      <w:lvlJc w:val="left"/>
      <w:pPr>
        <w:ind w:left="4320" w:hanging="360"/>
      </w:pPr>
    </w:lvl>
    <w:lvl w:ilvl="6" w:tplc="636CC43A">
      <w:start w:val="1"/>
      <w:numFmt w:val="bullet"/>
      <w:lvlText w:val="●"/>
      <w:lvlJc w:val="left"/>
      <w:pPr>
        <w:ind w:left="5040" w:hanging="360"/>
      </w:pPr>
    </w:lvl>
    <w:lvl w:ilvl="7" w:tplc="94DE6BF8">
      <w:start w:val="1"/>
      <w:numFmt w:val="bullet"/>
      <w:lvlText w:val="●"/>
      <w:lvlJc w:val="left"/>
      <w:pPr>
        <w:ind w:left="5760" w:hanging="360"/>
      </w:pPr>
    </w:lvl>
    <w:lvl w:ilvl="8" w:tplc="A9F2241A">
      <w:start w:val="1"/>
      <w:numFmt w:val="bullet"/>
      <w:lvlText w:val="●"/>
      <w:lvlJc w:val="left"/>
      <w:pPr>
        <w:ind w:left="6480" w:hanging="360"/>
      </w:pPr>
    </w:lvl>
  </w:abstractNum>
  <w:abstractNum w:abstractNumId="1" w15:restartNumberingAfterBreak="0">
    <w:nsid w:val="45AE6C78"/>
    <w:multiLevelType w:val="hybridMultilevel"/>
    <w:tmpl w:val="F58E0DA4"/>
    <w:lvl w:ilvl="0" w:tplc="8DF09420">
      <w:start w:val="1"/>
      <w:numFmt w:val="bullet"/>
      <w:lvlText w:val="•"/>
      <w:lvlJc w:val="left"/>
      <w:pPr>
        <w:ind w:left="720" w:hanging="360"/>
      </w:pPr>
    </w:lvl>
    <w:lvl w:ilvl="1" w:tplc="32DA2790">
      <w:numFmt w:val="decimal"/>
      <w:lvlText w:val=""/>
      <w:lvlJc w:val="left"/>
    </w:lvl>
    <w:lvl w:ilvl="2" w:tplc="440015C0">
      <w:numFmt w:val="decimal"/>
      <w:lvlText w:val=""/>
      <w:lvlJc w:val="left"/>
    </w:lvl>
    <w:lvl w:ilvl="3" w:tplc="B73E48FA">
      <w:numFmt w:val="decimal"/>
      <w:lvlText w:val=""/>
      <w:lvlJc w:val="left"/>
    </w:lvl>
    <w:lvl w:ilvl="4" w:tplc="0B700BBE">
      <w:numFmt w:val="decimal"/>
      <w:lvlText w:val=""/>
      <w:lvlJc w:val="left"/>
    </w:lvl>
    <w:lvl w:ilvl="5" w:tplc="C56AFCF0">
      <w:numFmt w:val="decimal"/>
      <w:lvlText w:val=""/>
      <w:lvlJc w:val="left"/>
    </w:lvl>
    <w:lvl w:ilvl="6" w:tplc="1CBCA43C">
      <w:numFmt w:val="decimal"/>
      <w:lvlText w:val=""/>
      <w:lvlJc w:val="left"/>
    </w:lvl>
    <w:lvl w:ilvl="7" w:tplc="35685904">
      <w:numFmt w:val="decimal"/>
      <w:lvlText w:val=""/>
      <w:lvlJc w:val="left"/>
    </w:lvl>
    <w:lvl w:ilvl="8" w:tplc="845A10EE">
      <w:numFmt w:val="decimal"/>
      <w:lvlText w:val=""/>
      <w:lvlJc w:val="left"/>
    </w:lvl>
  </w:abstractNum>
  <w:num w:numId="1" w16cid:durableId="1118721872">
    <w:abstractNumId w:val="0"/>
    <w:lvlOverride w:ilvl="0">
      <w:startOverride w:val="1"/>
    </w:lvlOverride>
  </w:num>
  <w:num w:numId="2" w16cid:durableId="14796833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1A1"/>
    <w:rsid w:val="002141A1"/>
    <w:rsid w:val="00753DDE"/>
    <w:rsid w:val="00CA3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27C62"/>
  <w15:docId w15:val="{53762547-2640-452E-8096-21EE27F28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unhideWhenUsed/>
    <w:qFormat/>
    <w:pPr>
      <w:spacing w:before="12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A3DDE"/>
    <w:pPr>
      <w:spacing w:after="100"/>
    </w:pPr>
  </w:style>
  <w:style w:type="paragraph" w:styleId="TOC2">
    <w:name w:val="toc 2"/>
    <w:basedOn w:val="Normal"/>
    <w:next w:val="Normal"/>
    <w:autoRedefine/>
    <w:uiPriority w:val="39"/>
    <w:unhideWhenUsed/>
    <w:rsid w:val="00CA3DDE"/>
    <w:pPr>
      <w:spacing w:after="100"/>
      <w:ind w:left="220"/>
    </w:pPr>
  </w:style>
  <w:style w:type="paragraph" w:styleId="TOC3">
    <w:name w:val="toc 3"/>
    <w:basedOn w:val="Normal"/>
    <w:next w:val="Normal"/>
    <w:autoRedefine/>
    <w:uiPriority w:val="39"/>
    <w:unhideWhenUsed/>
    <w:rsid w:val="00CA3DD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2324</Words>
  <Characters>13251</Characters>
  <Application>Microsoft Office Word</Application>
  <DocSecurity>0</DocSecurity>
  <Lines>110</Lines>
  <Paragraphs>31</Paragraphs>
  <ScaleCrop>false</ScaleCrop>
  <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DEBADRI SANYAL</cp:lastModifiedBy>
  <cp:revision>2</cp:revision>
  <dcterms:created xsi:type="dcterms:W3CDTF">2025-12-07T03:28:00Z</dcterms:created>
  <dcterms:modified xsi:type="dcterms:W3CDTF">2025-12-07T04:41:00Z</dcterms:modified>
</cp:coreProperties>
</file>