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Impact of NEFF Program on Enterprise Performance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z_profit_w1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z_ecost_w1</w:t>
            </w:r>
          </w:p>
        </w:tc>
        <w:tc>
          <w:tcPr>
            <w:tcW w:w="2674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z_revenue_w1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DiD: NEFF Enterprise × Post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(1 vs 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0.149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-0.025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(0.072)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(0.073)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(0.069)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year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2023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(0.009)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2024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0.190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0.363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(0.051)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(0.053)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(0.048)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-0.178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-0.093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-0.201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***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(0.011)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6645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6306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*** p&lt;.01, ** p&lt;.05, * p&lt;.1</w:t>
              <w:br w:type="textWrapping"/>
            </w:r>
            <w:r>
              <w:t xml:space="preserve">Standard errors clustered at the enterprise level</w:t>
              <w:br w:type="textWrapping"/>
            </w:r>
            <w:r>
              <w:t xml:space="preserve">All outcomes are standardized variables (mean=0, sd=1)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