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07e39ac502d14450"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jc w:val="center"/>
      </w:pPr>
      <w:r>
        <w:rPr>
          <w:b/>
          <w:sz w:val="44"/>
        </w:rPr>
        <w:t>PHISHGUARD AI 2.0</w:t>
      </w:r>
    </w:p>
    <w:p w14:paraId="00100002" w14:textId="00100003">
      <w:pPr>
        <w:jc w:val="center"/>
      </w:pPr>
      <w:r>
        <w:rPr>
          <w:i/>
          <w:sz w:val="26"/>
        </w:rPr>
        <w:t>Explainable Phishing Investigation Prototype</w:t>
      </w:r>
    </w:p>
    <w:p w14:paraId="00100004" w14:textId="00100005">
      <w:pPr>
        <w:jc w:val="center"/>
      </w:pPr>
      <w:r>
        <w:t>IBM SkillsBuild Cyber Security BootCamp 2026 | BharatCares</w:t>
        <w:br/>
      </w:r>
      <w:r>
        <w:t>Project Report | Prepared by Debartha Saha</w:t>
      </w:r>
    </w:p>
    <w:p w14:paraId="00100006" w14:textId="00100007">
      <w:pPr>
        <w:pStyle w:val="Heading1"/>
      </w:pPr>
      <w:r>
        <w:t>1. Abstract</w:t>
      </w:r>
    </w:p>
    <w:p w14:paraId="00100008" w14:textId="00100009">
      <w:r>
        <w:t>PhishGuard AI 2.0 is a Python-based educational cybersecurity prototype designed to help users examine suspicious email or SMS text and URL structures. It applies transparent detection rules, records supporting evidence, calculates a heuristic risk score, and recommends safe defensive actions. The notebook includes synthetic examples, a visualization, and JSON export functionality. The core system operates locally and does not automatically visit submitted URLs.</w:t>
      </w:r>
    </w:p>
    <w:p w14:paraId="0010000A" w14:textId="0010000B">
      <w:pPr>
        <w:pStyle w:val="Heading1"/>
      </w:pPr>
      <w:r>
        <w:t>2. Problem Statement</w:t>
      </w:r>
    </w:p>
    <w:p w14:paraId="0010000C" w14:textId="0010000D">
      <w:r>
        <w:t>Phishing messages often use urgency, requests for credentials or payment, and deceptive links to persuade recipients to act. Users may not understand which details are suspicious or why a message deserves closer inspection. A useful educational tool should surface concrete indicators and explain their limitations rather than returning an unexplained yes/no verdict.</w:t>
      </w:r>
    </w:p>
    <w:p w14:paraId="0010000E" w14:textId="0010000F">
      <w:pPr>
        <w:pStyle w:val="Heading1"/>
      </w:pPr>
      <w:r>
        <w:t>3. Objectives</w:t>
      </w:r>
    </w:p>
    <w:p w14:paraId="00100010" w14:textId="00100011">
      <w:pPr>
        <w:pStyle w:val="ListBullet"/>
      </w:pPr>
      <w:r>
        <w:t>Analyze email/SMS text and URL structure using local, transparent rules.</w:t>
      </w:r>
    </w:p>
    <w:p w14:paraId="00100012" w14:textId="00100013">
      <w:pPr>
        <w:pStyle w:val="ListBullet"/>
      </w:pPr>
      <w:r>
        <w:t>Show findings with evidence, severity, explanations, and defensive recommendations.</w:t>
      </w:r>
    </w:p>
    <w:p w14:paraId="00100014" w14:textId="00100015">
      <w:pPr>
        <w:pStyle w:val="ListBullet"/>
      </w:pPr>
      <w:r>
        <w:t>Calculate a documented heuristic score and communicate uncertainty.</w:t>
      </w:r>
    </w:p>
    <w:p w14:paraId="00100016" w14:textId="00100017">
      <w:pPr>
        <w:pStyle w:val="ListBullet"/>
      </w:pPr>
      <w:r>
        <w:t>Demonstrate behavior on synthetic suspicious, legitimate, and ambiguous examples.</w:t>
      </w:r>
    </w:p>
    <w:p w14:paraId="00100018" w14:textId="00100019">
      <w:pPr>
        <w:pStyle w:val="ListBullet"/>
      </w:pPr>
      <w:r>
        <w:t>Avoid unsafe URL fetching and keep the core workflow usable offline.</w:t>
      </w:r>
    </w:p>
    <w:p w14:paraId="0010001A" w14:textId="0010001B">
      <w:pPr>
        <w:pStyle w:val="Heading1"/>
      </w:pPr>
      <w:r>
        <w:t>4. Methodology and System Design</w:t>
      </w:r>
    </w:p>
    <w:p w14:paraId="0010001C" w14:textId="0010001D">
      <w:r>
        <w:t>The notebook accepts a message or URL as input. Message analysis checks for selected urgency phrases, credential-related language, payment-related wording, embedded links, and limited sender/context inconsistencies. URL analysis uses Python URL parsing to inspect the scheme, hostname, IP-address hosts, punycode indicators, userinfo components, number of hostname labels, and selected encoding patterns. URLs are parsed locally; no network request is made.</w:t>
      </w:r>
    </w:p>
    <w:p w14:paraId="0010001E" w14:textId="0010001F">
      <w:r>
        <w:t>Each matched rule creates a structured finding containing a rule ID, title, severity, evidence, explanation, recommendation, and point contribution. The score sums the highest contribution for each rule ID and is capped at 100. Scores of 0–24 are Low, 25–49 Medium, and 50–100 High. The score is heuristic and has not been calibrated as a probability.</w:t>
      </w:r>
    </w:p>
    <w:p w14:paraId="00100020" w14:textId="00100021">
      <w:pPr>
        <w:pStyle w:val="Heading1"/>
      </w:pPr>
      <w:r>
        <w:t>5. Technologies Used</w:t>
      </w:r>
    </w:p>
    <w:p w14:paraId="00100022" w14:textId="00100023">
      <w:pPr>
        <w:pStyle w:val="ListBullet"/>
      </w:pPr>
      <w:r>
        <w:t>Python 3.10 or newer — core implementation and rule engine.</w:t>
      </w:r>
    </w:p>
    <w:p w14:paraId="00100024" w14:textId="00100025">
      <w:pPr>
        <w:pStyle w:val="ListBullet"/>
      </w:pPr>
      <w:r>
        <w:t>Jupyter Notebook — interactive execution and demonstration.</w:t>
      </w:r>
    </w:p>
    <w:p w14:paraId="00100026" w14:textId="00100027">
      <w:pPr>
        <w:pStyle w:val="ListBullet"/>
      </w:pPr>
      <w:r>
        <w:t>pandas — tabular display of synthetic test cases.</w:t>
      </w:r>
    </w:p>
    <w:p w14:paraId="00100028" w14:textId="00100029">
      <w:pPr>
        <w:pStyle w:val="ListBullet"/>
      </w:pPr>
      <w:r>
        <w:t>matplotlib — visualization of heuristic scores.</w:t>
      </w:r>
    </w:p>
    <w:p w14:paraId="0010002A" w14:textId="0010002B">
      <w:pPr>
        <w:pStyle w:val="ListBullet"/>
      </w:pPr>
      <w:r>
        <w:t>Python standard library — regular expressions, URL parsing, IP address checks, JSON, and timestamps.</w:t>
      </w:r>
    </w:p>
    <w:p w14:paraId="0010002C" w14:textId="0010002D">
      <w:pPr>
        <w:pStyle w:val="Heading1"/>
      </w:pPr>
      <w:r>
        <w:t>6. Features</w:t>
      </w:r>
    </w:p>
    <w:p w14:paraId="0010002E" w14:textId="0010002F">
      <w:pPr>
        <w:pStyle w:val="ListBullet"/>
      </w:pPr>
      <w:r>
        <w:t>Email/SMS analysis for urgency, credential requests, payment language, links, and selected sender/context patterns.</w:t>
      </w:r>
    </w:p>
    <w:p w14:paraId="00100030" w14:textId="00100031">
      <w:pPr>
        <w:pStyle w:val="ListBullet"/>
      </w:pPr>
      <w:r>
        <w:t>URL structure analysis without visiting or downloading the destination.</w:t>
      </w:r>
    </w:p>
    <w:p w14:paraId="00100032" w14:textId="00100033">
      <w:pPr>
        <w:pStyle w:val="ListBullet"/>
      </w:pPr>
      <w:r>
        <w:t>Evidence-backed findings with severity and recommended defensive actions.</w:t>
      </w:r>
    </w:p>
    <w:p w14:paraId="00100034" w14:textId="00100035">
      <w:pPr>
        <w:pStyle w:val="ListBullet"/>
      </w:pPr>
      <w:r>
        <w:t>Heuristic score with Low, Medium, and High categories.</w:t>
      </w:r>
    </w:p>
    <w:p w14:paraId="00100036" w14:textId="00100037">
      <w:pPr>
        <w:pStyle w:val="ListBullet"/>
      </w:pPr>
      <w:r>
        <w:t>Synthetic demonstration cases including suspicious, legitimate, and ambiguous examples.</w:t>
      </w:r>
    </w:p>
    <w:p w14:paraId="00100038" w14:textId="0010007A">
      <w:pPr>
        <w:pStyle w:val="ListBullet"/>
      </w:pPr>
      <w:r>
        <w:t xml:space="preserve">Score deduplication: the highest contribution per rule ID is used; the same rule cannot inflate the score by firing twice. Colour-coded risk-score bar chart with threshold markers and JSON report export. Automated test suite of 96 tests covering all major code paths.</w:t>
      </w:r>
    </w:p>
    <w:p w14:paraId="0010003A" w14:textId="00100074">
      <w:pPr>
        <w:pStyle w:val="Heading1"/>
      </w:pPr>
      <w:r>
        <w:t xml:space="preserve">7. Testing and Results</w:t>
      </w:r>
    </w:p>
    <w:p w14:paraId="0010003C" w14:textId="00100075">
      <w:r>
        <w:t xml:space="preserve">An automated test suite of 96 tests is included in tests/test_phishguard.py. Tests are grouped into 12 areas: (1) empty and invalid inputs, (2) credential-request messages, (3) urgency and payment messages, (4) legitimate messages as false-positive controls, (5) URLs with unusual structures, (6) malformed URLs, (7) URL extraction from message text, (8) score boundaries and risk categories, (9) duplicate-finding and score deduplication, (10) JSON serialisation and report generation, (11) optional and missing fields, and (12) integration smoke tests using the same examples as the notebook. All test data is synthetic.</w:t>
      </w:r>
    </w:p>
    <w:p w14:paraId="0010003E" w14:textId="00100076">
      <w:r>
        <w:t xml:space="preserve">Test execution result on Python 3.14.7 with pytest 9.1.1: 96 tests collected, 96 passed, 0 failed (approximately 3 seconds). Tests import phishguard_engine.py directly and do not require a running Jupyter kernel. The synthetic examples are illustrative and not a statistically representative dataset. No accuracy, precision, recall, or F1 score is claimed. A future evaluation should use a labeled, appropriately licensed dataset.</w:t>
      </w:r>
    </w:p>
    <w:p w14:paraId="00100040" w14:textId="00100041">
      <w:pPr>
        <w:pStyle w:val="Heading1"/>
      </w:pPr>
      <w:r>
        <w:t>8. Setup and Execution</w:t>
      </w:r>
    </w:p>
    <w:p w14:paraId="00100042" w14:textId="00100043">
      <w:pPr>
        <w:pStyle w:val="ListNumber"/>
      </w:pPr>
      <w:r>
        <w:t>Install Python 3.10 or newer.</w:t>
      </w:r>
    </w:p>
    <w:p w14:paraId="00100044" w14:textId="00100045">
      <w:pPr>
        <w:pStyle w:val="ListNumber"/>
      </w:pPr>
      <w:r>
        <w:t>Create and activate a virtual environment.</w:t>
      </w:r>
    </w:p>
    <w:p w14:paraId="00100046" w14:textId="00100047">
      <w:pPr>
        <w:pStyle w:val="ListNumber"/>
      </w:pPr>
      <w:r>
        <w:t>Run: python -m pip install -r requirements.txt</w:t>
      </w:r>
    </w:p>
    <w:p w14:paraId="00100048" w14:textId="00100049">
      <w:pPr>
        <w:pStyle w:val="ListNumber"/>
      </w:pPr>
      <w:r>
        <w:t>Run: jupyter notebook</w:t>
      </w:r>
    </w:p>
    <w:p w14:paraId="0010004A" w14:textId="0010007B">
      <w:pPr>
        <w:pStyle w:val="ListNumber"/>
      </w:pPr>
      <w:r>
        <w:t xml:space="preserve">Open DebarthaSaha_PhishGuardAI.ipynb and select Kernel → Restart and Run All to execute cells from top to bottom. Ensure phishguard_engine.py is in the same directory as the notebook. To run the automated tests: python -m pytest tests/ -v</w:t>
      </w:r>
    </w:p>
    <w:p w14:paraId="0010004C" w14:textId="0010004D">
      <w:pPr>
        <w:pStyle w:val="Heading1"/>
      </w:pPr>
      <w:r>
        <w:t>9. Ethical and Safety Considerations</w:t>
      </w:r>
    </w:p>
    <w:p w14:paraId="0010004E" w14:textId="0010004F">
      <w:r>
        <w:t>The prototype is intended for defensive awareness and education. It does not visit submitted links, collect credentials, or contact external threat-intelligence services by default. Message text and URL patterns can be ambiguous, so the output must be treated as decision support rather than proof. Users should verify suspicious requests through an official channel they locate independently. Sensitive content should not be submitted to unapproved external services.</w:t>
      </w:r>
    </w:p>
    <w:p w14:paraId="00100050" w14:textId="00100051">
      <w:pPr>
        <w:pStyle w:val="Heading1"/>
      </w:pPr>
      <w:r>
        <w:t>10. Limitations</w:t>
      </w:r>
    </w:p>
    <w:p w14:paraId="00100052" w14:textId="00100053">
      <w:pPr>
        <w:pStyle w:val="ListBullet"/>
      </w:pPr>
      <w:r>
        <w:t>The rule set is limited and may miss new or sophisticated phishing attempts.</w:t>
      </w:r>
    </w:p>
    <w:p w14:paraId="00100054" w14:textId="00100055">
      <w:pPr>
        <w:pStyle w:val="ListBullet"/>
      </w:pPr>
      <w:r>
        <w:t>Legitimate messages can trigger false positives, and malicious messages can evade detection.</w:t>
      </w:r>
    </w:p>
    <w:p w14:paraId="00100056" w14:textId="00100057">
      <w:pPr>
        <w:pStyle w:val="ListBullet"/>
      </w:pPr>
      <w:r>
        <w:t>No live domain reputation or AI-provider enrichment is enabled in this submission version.</w:t>
      </w:r>
    </w:p>
    <w:p w14:paraId="00100058" w14:textId="00100059">
      <w:pPr>
        <w:pStyle w:val="ListBullet"/>
      </w:pPr>
      <w:r>
        <w:t>The risk score is heuristic, not a calibrated probability.</w:t>
      </w:r>
    </w:p>
    <w:p w14:paraId="0010005A" w14:textId="0010005B">
      <w:pPr>
        <w:pStyle w:val="ListBullet"/>
      </w:pPr>
      <w:r>
        <w:t>The synthetic sample set is small and cannot establish real-world detection performance.</w:t>
      </w:r>
    </w:p>
    <w:p w14:paraId="0010005C" w14:textId="0010005D">
      <w:pPr>
        <w:pStyle w:val="Heading1"/>
      </w:pPr>
      <w:r>
        <w:t>11. Future Enhancements</w:t>
      </w:r>
    </w:p>
    <w:p w14:paraId="0010005E" w14:textId="0010005F">
      <w:pPr>
        <w:pStyle w:val="ListBullet"/>
      </w:pPr>
      <w:r>
        <w:t>Add optional AI-generated explanations grounded in detection findings.</w:t>
      </w:r>
    </w:p>
    <w:p w14:paraId="00100060" w14:textId="00100061">
      <w:pPr>
        <w:pStyle w:val="ListBullet"/>
      </w:pPr>
      <w:r>
        <w:t>Add opt-in threat-intelligence lookups with privacy notices, rate-limit handling, and provider attribution.</w:t>
      </w:r>
    </w:p>
    <w:p w14:paraId="00100062" w14:textId="00100063">
      <w:pPr>
        <w:pStyle w:val="ListBullet"/>
      </w:pPr>
      <w:r>
        <w:t>Store investigation history and correlate repeated indicators across cases.</w:t>
      </w:r>
    </w:p>
    <w:p w14:paraId="00100064" w14:textId="00100065">
      <w:pPr>
        <w:pStyle w:val="ListBullet"/>
      </w:pPr>
      <w:r>
        <w:t>Expand tests and evaluate with a labeled, properly licensed dataset.</w:t>
      </w:r>
    </w:p>
    <w:p w14:paraId="00100066" w14:textId="00100067">
      <w:pPr>
        <w:pStyle w:val="ListBullet"/>
      </w:pPr>
      <w:r>
        <w:t>Add a dashboard and PDF export while retaining offline core analysis.</w:t>
      </w:r>
    </w:p>
    <w:p w14:paraId="00100068" w14:textId="00100069">
      <w:pPr>
        <w:pStyle w:val="Heading1"/>
      </w:pPr>
      <w:r>
        <w:t>12. Conclusion</w:t>
      </w:r>
    </w:p>
    <w:p w14:paraId="0010006A" w14:textId="0010006B">
      <w:r>
        <w:t>PhishGuard AI 2.0 demonstrates a transparent approach to phishing analysis through modular rules, supporting evidence, clear recommendations, and explicit limitations. Its offline-first design makes it suitable for a bootcamp demonstration and a foundation for future development. It should not be treated as a production-grade security product without broader testing, validation, and security review.</w:t>
      </w:r>
    </w:p>
    <w:p w14:paraId="0010006C" w14:textId="0010006D">
      <w:pPr>
        <w:pStyle w:val="Heading1"/>
      </w:pPr>
      <w:r>
        <w:t>Appendix: Project Files</w:t>
      </w:r>
    </w:p>
    <w:p w14:paraId="0010006E" w14:textId="00100077">
      <w:pPr>
        <w:pStyle w:val="ListBullet"/>
      </w:pPr>
      <w:r>
        <w:t xml:space="preserve">DebarthaSaha_PhishGuardAI.ipynb — notebook containing demonstrations, visualization, and inline engine fallback.</w:t>
      </w:r>
    </w:p>
    <w:p w14:paraId="00100070" w14:textId="00100078">
      <w:pPr>
        <w:pStyle w:val="ListBullet"/>
      </w:pPr>
      <w:r>
        <w:t xml:space="preserve">phishguard_engine.py — detection engine module imported by the notebook and the test suite. requirements.txt — Python dependencies (pandas, matplotlib, jupyter).</w:t>
      </w:r>
    </w:p>
    <w:p w14:paraId="00100072" w14:textId="00100079">
      <w:pPr>
        <w:pStyle w:val="ListBullet"/>
      </w:pPr>
      <w:r>
        <w:t xml:space="preserve">README.md — overview, setup, usage, and limitations. tests/test_phishguard.py — automated test suite (96 tests).</w:t>
      </w:r>
    </w:p>
    <w:sectPr w:rsidRPr="0006063C" w:rsidR="00FC693F"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2026-10-23T11:09:49Z</vt:lpwstr>
  </op:property>
</op:Properties>
</file>