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Product Opportunity Brief</w:t>
      </w:r>
    </w:p>
    <w:p>
      <w:pPr>
        <w:pBdr>
          <w:bottom w:val="single" w:color="2A9D8F" w:sz="12" w:space="4"/>
        </w:pBdr>
        <w:spacing w:after="200"/>
      </w:pPr>
      <w:r>
        <w:rPr>
          <w:rFonts w:ascii="Arial" w:cs="Arial" w:eastAsia="Arial" w:hAnsi="Arial"/>
          <w:color w:val="5B6B7C"/>
          <w:sz w:val="20"/>
          <w:szCs w:val="20"/>
        </w:rPr>
        <w:t xml:space="preserve">Use when assessing a new product opportunity, from customer problem to pilot and decision criteria.</w:t>
      </w:r>
    </w:p>
    <w:p>
      <w:pPr>
        <w:spacing w:after="80"/>
      </w:pPr>
      <w:r>
        <w:rPr>
          <w:rFonts w:ascii="Arial" w:cs="Arial" w:eastAsia="Arial" w:hAnsi="Arial"/>
          <w:color w:val="5B6B7C"/>
          <w:sz w:val="19"/>
          <w:szCs w:val="19"/>
        </w:rPr>
        <w:t xml:space="preserve">Prepared by: ______________    Date: ____________    Version: ____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The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One-line name and what it is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Who it is for, with the segment or trip context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Customer problem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The need or friction, in the customer's words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Current alternative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What the customer does today instead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Proposed proposition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What we would offer and why the customer would choose it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Design and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Who can buy or receive it, and exclusions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Pricing and terms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Price, restrictions, cancellation and refund rules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Customer journey placement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Where in the journey it appears and why that moment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Required platform capabilities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Search, inventory, pricing, checkout, confirmation, data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Inventory and fulfillment dependencies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What must exist for the promise to be delivered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Operational owner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Named team or role accountable for fulfillment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Commercial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Commercial hypothesis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If we do X for Y, we expect Z, measured by W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Primary KPI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One main measure, with baseline and target if known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Customer and operational guardrails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Measures that must not deteriorate (e.g. core booking conversion, complaints, refunds, workload)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Key risks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Top risks and the mitigation for each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Pilot and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Pilot design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Audience, duration, control or comparison, sites or channels</w:t>
            </w:r>
          </w:p>
        </w:tc>
      </w:tr>
      <w:tr>
        <w:tc>
          <w:tcPr>
            <w:tcW w:type="dxa" w:w="2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Scale / iterate / stop criteria</w:t>
            </w:r>
          </w:p>
        </w:tc>
        <w:tc>
          <w:tcPr>
            <w:tcW w:type="dxa" w:w="6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Agree in advance: what result means scale, what means iterate, what means stop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B6B7C"/>
          <w:sz w:val="16"/>
          <w:szCs w:val="16"/>
        </w:rPr>
        <w:t xml:space="preserve">Template from the hospitality-digital-commerce-transformation portfolio. Replace the grey guidance text with your own content. Do not enter confidential client information in any public copy.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2026-10-17T05:56:09.178Z</dcterms:created>
  <dcterms:modified xsi:type="dcterms:W3CDTF">2026-10-17T05:56:09.179Z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