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A5F"/>
          <w:sz w:val="42"/>
        </w:rPr>
        <w:t>OMEIA / Färkkilä Lab Research Knowledge Base + AI Brain</w:t>
      </w:r>
    </w:p>
    <w:p>
      <w:pPr>
        <w:jc w:val="center"/>
      </w:pPr>
      <w:r>
        <w:rPr>
          <w:i/>
          <w:sz w:val="22"/>
        </w:rPr>
        <w:t>Master dossier, prompts, scaffolds, seed assets, and QA plan</w:t>
      </w:r>
    </w:p>
    <w:p>
      <w:r>
        <w:t>Created: 2026-06-06</w:t>
      </w:r>
    </w:p>
    <w:p>
      <w:r>
        <w:t>Purpose: Give a coding AI everything needed to build a professional, source-grounded research knowledge base for the OMEIA / Färkkilä Lab Assistant.</w:t>
      </w:r>
    </w:p>
    <w:p>
      <w:pPr>
        <w:pStyle w:val="Heading1"/>
      </w:pPr>
      <w:r>
        <w:t>1. Executive Summary</w:t>
      </w:r>
    </w:p>
    <w:p>
      <w:r>
        <w:t>The assistant should be built as a living research knowledge infrastructure, not as a simple fine-tuned chatbot. The recommended architecture is Unified Search + RAG + Knowledge Graph + Evaluation + Scheduled Refresh.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Goal</w:t>
            </w:r>
          </w:p>
        </w:tc>
        <w:tc>
          <w:tcPr>
            <w:tcW w:type="dxa" w:w="5112"/>
            <w:shd w:fill="D9EAF7"/>
          </w:tcPr>
          <w:p>
            <w:r>
              <w:t>Implementation</w:t>
            </w:r>
          </w:p>
        </w:tc>
      </w:tr>
      <w:tr>
        <w:tc>
          <w:tcPr>
            <w:tcW w:type="dxa" w:w="5112"/>
          </w:tcPr>
          <w:p>
            <w:r>
              <w:t>Know lab research precisely</w:t>
            </w:r>
          </w:p>
        </w:tc>
        <w:tc>
          <w:tcPr>
            <w:tcW w:type="dxa" w:w="5112"/>
          </w:tcPr>
          <w:p>
            <w:r>
              <w:t>Crawl public website, publication metadata, datasets, and internal docs.</w:t>
            </w:r>
          </w:p>
        </w:tc>
      </w:tr>
      <w:tr>
        <w:tc>
          <w:tcPr>
            <w:tcW w:type="dxa" w:w="5112"/>
          </w:tcPr>
          <w:p>
            <w:r>
              <w:t>Answer with sources</w:t>
            </w:r>
          </w:p>
        </w:tc>
        <w:tc>
          <w:tcPr>
            <w:tcW w:type="dxa" w:w="5112"/>
          </w:tcPr>
          <w:p>
            <w:r>
              <w:t>Qdrant RAG + PostgreSQL metadata + citation-required prompt.</w:t>
            </w:r>
          </w:p>
        </w:tc>
      </w:tr>
      <w:tr>
        <w:tc>
          <w:tcPr>
            <w:tcW w:type="dxa" w:w="5112"/>
          </w:tcPr>
          <w:p>
            <w:r>
              <w:t>Understand relationships</w:t>
            </w:r>
          </w:p>
        </w:tc>
        <w:tc>
          <w:tcPr>
            <w:tcW w:type="dxa" w:w="5112"/>
          </w:tcPr>
          <w:p>
            <w:r>
              <w:t>Knowledge graph entities and relations.</w:t>
            </w:r>
          </w:p>
        </w:tc>
      </w:tr>
      <w:tr>
        <w:tc>
          <w:tcPr>
            <w:tcW w:type="dxa" w:w="5112"/>
          </w:tcPr>
          <w:p>
            <w:r>
              <w:t>Stay current</w:t>
            </w:r>
          </w:p>
        </w:tc>
        <w:tc>
          <w:tcPr>
            <w:tcW w:type="dxa" w:w="5112"/>
          </w:tcPr>
          <w:p>
            <w:r>
              <w:t>Scheduled refresh and index freshness dashboard.</w:t>
            </w:r>
          </w:p>
        </w:tc>
      </w:tr>
      <w:tr>
        <w:tc>
          <w:tcPr>
            <w:tcW w:type="dxa" w:w="5112"/>
          </w:tcPr>
          <w:p>
            <w:r>
              <w:t>Measure accuracy</w:t>
            </w:r>
          </w:p>
        </w:tc>
        <w:tc>
          <w:tcPr>
            <w:tcW w:type="dxa" w:w="5112"/>
          </w:tcPr>
          <w:p>
            <w:r>
              <w:t>Evaluation questions and regression tests.</w:t>
            </w:r>
          </w:p>
        </w:tc>
      </w:tr>
    </w:tbl>
    <w:p>
      <w:pPr>
        <w:pStyle w:val="Heading1"/>
      </w:pPr>
      <w:r>
        <w:t>2. Domain to Learn</w:t>
      </w:r>
    </w:p>
    <w:p>
      <w:pPr>
        <w:pStyle w:val="ListBullet"/>
      </w:pPr>
      <w:r>
        <w:t>Färkkilä Lab, University of Helsinki</w:t>
      </w:r>
    </w:p>
    <w:p>
      <w:pPr>
        <w:pStyle w:val="ListBullet"/>
      </w:pPr>
      <w:r>
        <w:t>Ovarian cancer and high-grade serous ovarian cancer / HGSC / HGSOC</w:t>
      </w:r>
    </w:p>
    <w:p>
      <w:pPr>
        <w:pStyle w:val="ListBullet"/>
      </w:pPr>
      <w:r>
        <w:t>Spatial biology, single-cell analysis, multi-omics, precision oncology</w:t>
      </w:r>
    </w:p>
    <w:p>
      <w:pPr>
        <w:pStyle w:val="ListBullet"/>
      </w:pPr>
      <w:r>
        <w:t>MHC class II, antigen presentation, tertiary lymphoid structures / TLS</w:t>
      </w:r>
    </w:p>
    <w:p>
      <w:pPr>
        <w:pStyle w:val="ListBullet"/>
      </w:pPr>
      <w:r>
        <w:t>tCyCIF/CycIF, Visium, GeoMx, scRNA-seq, computational image analysis</w:t>
      </w:r>
    </w:p>
    <w:p>
      <w:pPr>
        <w:pStyle w:val="ListBullet"/>
      </w:pPr>
      <w:r>
        <w:t>Public datasets such as GSE211956, EGA phs002262, TCGA-OV, CPTAC references</w:t>
      </w:r>
    </w:p>
    <w:p>
      <w:pPr>
        <w:pStyle w:val="ListBullet"/>
      </w:pPr>
      <w:r>
        <w:t>Internal protocols, SOPs, notebooks, project folders, decisions, and computational pipelines</w:t>
      </w:r>
    </w:p>
    <w:p>
      <w:pPr>
        <w:pStyle w:val="Heading1"/>
      </w:pPr>
      <w:r>
        <w:t>3. Hard Rules</w:t>
      </w:r>
    </w:p>
    <w:p>
      <w:pPr>
        <w:pStyle w:val="ListBullet"/>
      </w:pPr>
      <w:r>
        <w:t>Do not hallucinate citations.</w:t>
      </w:r>
    </w:p>
    <w:p>
      <w:pPr>
        <w:pStyle w:val="ListBullet"/>
      </w:pPr>
      <w:r>
        <w:t>Do not expose private/internal knowledge to unauthorized users.</w:t>
      </w:r>
    </w:p>
    <w:p>
      <w:pPr>
        <w:pStyle w:val="ListBullet"/>
      </w:pPr>
      <w:r>
        <w:t>Do not send patient-identifiable text to public LLMs.</w:t>
      </w:r>
    </w:p>
    <w:p>
      <w:pPr>
        <w:pStyle w:val="ListBullet"/>
      </w:pPr>
      <w:r>
        <w:t>Do not store full closed-access papers unless rights/license allow it.</w:t>
      </w:r>
    </w:p>
    <w:p>
      <w:pPr>
        <w:pStyle w:val="ListBullet"/>
      </w:pPr>
      <w:r>
        <w:t>Do not claim 98% accuracy until evaluation proves it.</w:t>
      </w:r>
    </w:p>
    <w:p>
      <w:pPr>
        <w:pStyle w:val="ListBullet"/>
      </w:pPr>
      <w:r>
        <w:t>Do not claim Qdrant indexing works unless upsert and retrieval are verified.</w:t>
      </w:r>
    </w:p>
    <w:p>
      <w:pPr>
        <w:pStyle w:val="Heading1"/>
      </w:pPr>
      <w:r>
        <w:t>4. Target Architecture</w:t>
      </w:r>
    </w:p>
    <w:p>
      <w:pPr>
        <w:pStyle w:val="ListBullet"/>
      </w:pPr>
      <w:r>
        <w:t>Public website, publication, dataset, and internal document ingestion.</w:t>
      </w:r>
    </w:p>
    <w:p>
      <w:pPr>
        <w:pStyle w:val="ListBullet"/>
      </w:pPr>
      <w:r>
        <w:t>Scientific parser and cleaner.</w:t>
      </w:r>
    </w:p>
    <w:p>
      <w:pPr>
        <w:pStyle w:val="ListBullet"/>
      </w:pPr>
      <w:r>
        <w:t>Entity/relation extraction.</w:t>
      </w:r>
    </w:p>
    <w:p>
      <w:pPr>
        <w:pStyle w:val="ListBullet"/>
      </w:pPr>
      <w:r>
        <w:t>PostgreSQL registry and knowledge graph tables.</w:t>
      </w:r>
    </w:p>
    <w:p>
      <w:pPr>
        <w:pStyle w:val="ListBullet"/>
      </w:pPr>
      <w:r>
        <w:t>Qdrant research_knowledge collection with named vector text.</w:t>
      </w:r>
    </w:p>
    <w:p>
      <w:pPr>
        <w:pStyle w:val="ListBullet"/>
      </w:pPr>
      <w:r>
        <w:t>Unified search and AI assistant RAG integration.</w:t>
      </w:r>
    </w:p>
    <w:p>
      <w:pPr>
        <w:pStyle w:val="ListBullet"/>
      </w:pPr>
      <w:r>
        <w:t>Evaluation and scheduled refresh jobs.</w:t>
      </w:r>
    </w:p>
    <w:p>
      <w:pPr>
        <w:pStyle w:val="Heading1"/>
      </w:pPr>
      <w:r>
        <w:t>5. Source Seeds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Type</w:t>
            </w:r>
          </w:p>
        </w:tc>
        <w:tc>
          <w:tcPr>
            <w:tcW w:type="dxa" w:w="3408"/>
            <w:shd w:fill="D9EAF7"/>
          </w:tcPr>
          <w:p>
            <w:r>
              <w:t>URL / ID</w:t>
            </w:r>
          </w:p>
        </w:tc>
        <w:tc>
          <w:tcPr>
            <w:tcW w:type="dxa" w:w="3408"/>
            <w:shd w:fill="D9EAF7"/>
          </w:tcPr>
          <w:p>
            <w:r>
              <w:t>Why it matters</w:t>
            </w:r>
          </w:p>
        </w:tc>
      </w:tr>
      <w:tr>
        <w:tc>
          <w:tcPr>
            <w:tcW w:type="dxa" w:w="3408"/>
          </w:tcPr>
          <w:p>
            <w:r>
              <w:t>Website</w:t>
            </w:r>
          </w:p>
        </w:tc>
        <w:tc>
          <w:tcPr>
            <w:tcW w:type="dxa" w:w="3408"/>
          </w:tcPr>
          <w:p>
            <w:r>
              <w:t>https://www.farkkilab.org/research</w:t>
            </w:r>
          </w:p>
        </w:tc>
        <w:tc>
          <w:tcPr>
            <w:tcW w:type="dxa" w:w="3408"/>
          </w:tcPr>
          <w:p>
            <w:r>
              <w:t>Research programs and domain identity</w:t>
            </w:r>
          </w:p>
        </w:tc>
      </w:tr>
      <w:tr>
        <w:tc>
          <w:tcPr>
            <w:tcW w:type="dxa" w:w="3408"/>
          </w:tcPr>
          <w:p>
            <w:r>
              <w:t>Website</w:t>
            </w:r>
          </w:p>
        </w:tc>
        <w:tc>
          <w:tcPr>
            <w:tcW w:type="dxa" w:w="3408"/>
          </w:tcPr>
          <w:p>
            <w:r>
              <w:t>https://www.farkkilab.org/publications</w:t>
            </w:r>
          </w:p>
        </w:tc>
        <w:tc>
          <w:tcPr>
            <w:tcW w:type="dxa" w:w="3408"/>
          </w:tcPr>
          <w:p>
            <w:r>
              <w:t>Publication discovery seed</w:t>
            </w:r>
          </w:p>
        </w:tc>
      </w:tr>
      <w:tr>
        <w:tc>
          <w:tcPr>
            <w:tcW w:type="dxa" w:w="3408"/>
          </w:tcPr>
          <w:p>
            <w:r>
              <w:t>Clinical</w:t>
            </w:r>
          </w:p>
        </w:tc>
        <w:tc>
          <w:tcPr>
            <w:tcW w:type="dxa" w:w="3408"/>
          </w:tcPr>
          <w:p>
            <w:r>
              <w:t>https://www.farkkilab.org/clinic</w:t>
            </w:r>
          </w:p>
        </w:tc>
        <w:tc>
          <w:tcPr>
            <w:tcW w:type="dxa" w:w="3408"/>
          </w:tcPr>
          <w:p>
            <w:r>
              <w:t>ONCOSYS-OVA / clinical translational context</w:t>
            </w:r>
          </w:p>
        </w:tc>
      </w:tr>
      <w:tr>
        <w:tc>
          <w:tcPr>
            <w:tcW w:type="dxa" w:w="3408"/>
          </w:tcPr>
          <w:p>
            <w:r>
              <w:t>Publication</w:t>
            </w:r>
          </w:p>
        </w:tc>
        <w:tc>
          <w:tcPr>
            <w:tcW w:type="dxa" w:w="3408"/>
          </w:tcPr>
          <w:p>
            <w:r>
              <w:t>DOI 10.1158/2159-8290.CD-25-1492</w:t>
            </w:r>
          </w:p>
        </w:tc>
        <w:tc>
          <w:tcPr>
            <w:tcW w:type="dxa" w:w="3408"/>
          </w:tcPr>
          <w:p>
            <w:r>
              <w:t>MHC class II / HGSC spatial atlas</w:t>
            </w:r>
          </w:p>
        </w:tc>
      </w:tr>
      <w:tr>
        <w:tc>
          <w:tcPr>
            <w:tcW w:type="dxa" w:w="3408"/>
          </w:tcPr>
          <w:p>
            <w:r>
              <w:t>Dataset</w:t>
            </w:r>
          </w:p>
        </w:tc>
        <w:tc>
          <w:tcPr>
            <w:tcW w:type="dxa" w:w="3408"/>
          </w:tcPr>
          <w:p>
            <w:r>
              <w:t>GSE211956</w:t>
            </w:r>
          </w:p>
        </w:tc>
        <w:tc>
          <w:tcPr>
            <w:tcW w:type="dxa" w:w="3408"/>
          </w:tcPr>
          <w:p>
            <w:r>
              <w:t>HGSOC Visium + 10x scRNA-seq dataset</w:t>
            </w:r>
          </w:p>
        </w:tc>
      </w:tr>
      <w:tr>
        <w:tc>
          <w:tcPr>
            <w:tcW w:type="dxa" w:w="3408"/>
          </w:tcPr>
          <w:p>
            <w:r>
              <w:t>Dataset</w:t>
            </w:r>
          </w:p>
        </w:tc>
        <w:tc>
          <w:tcPr>
            <w:tcW w:type="dxa" w:w="3408"/>
          </w:tcPr>
          <w:p>
            <w:r>
              <w:t>EGA phs002262</w:t>
            </w:r>
          </w:p>
        </w:tc>
        <w:tc>
          <w:tcPr>
            <w:tcW w:type="dxa" w:w="3408"/>
          </w:tcPr>
          <w:p>
            <w:r>
              <w:t>HGSOC single-cell RNA-seq metadata</w:t>
            </w:r>
          </w:p>
        </w:tc>
      </w:tr>
    </w:tbl>
    <w:p>
      <w:pPr>
        <w:pStyle w:val="Heading1"/>
      </w:pPr>
      <w:r>
        <w:t>6. Database Migration Summary</w:t>
      </w:r>
    </w:p>
    <w:p>
      <w:r>
        <w:t>The SQL migration in 03_DATABASE_MIGRATIONS.sql creates the core registry, chunk, dataset, knowledge graph, ingestion job, and evaluation tables.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platform.research_source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platform.research_document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platform.research_chunk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platform.research_dataset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platform.knowledge_entity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platform.knowledge_relation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platform.research_ingestion_job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platform.research_query_eval</w:t>
      </w:r>
    </w:p>
    <w:p>
      <w:pPr>
        <w:pStyle w:val="Heading1"/>
      </w:pPr>
      <w:r>
        <w:t>7. Backend Scaffolds Included</w:t>
      </w:r>
    </w:p>
    <w:p>
      <w:pPr>
        <w:pStyle w:val="ListBullet"/>
      </w:pPr>
      <w:r>
        <w:t>research_knowledge_models.py</w:t>
      </w:r>
    </w:p>
    <w:p>
      <w:pPr>
        <w:pStyle w:val="ListBullet"/>
      </w:pPr>
      <w:r>
        <w:t>research_crawler.py</w:t>
      </w:r>
    </w:p>
    <w:p>
      <w:pPr>
        <w:pStyle w:val="ListBullet"/>
      </w:pPr>
      <w:r>
        <w:t>publication_fetcher.py</w:t>
      </w:r>
    </w:p>
    <w:p>
      <w:pPr>
        <w:pStyle w:val="ListBullet"/>
      </w:pPr>
      <w:r>
        <w:t>dataset_fetcher.py</w:t>
      </w:r>
    </w:p>
    <w:p>
      <w:pPr>
        <w:pStyle w:val="ListBullet"/>
      </w:pPr>
      <w:r>
        <w:t>scientific_document_parser.py</w:t>
      </w:r>
    </w:p>
    <w:p>
      <w:pPr>
        <w:pStyle w:val="ListBullet"/>
      </w:pPr>
      <w:r>
        <w:t>entity_relation_extractor.py</w:t>
      </w:r>
    </w:p>
    <w:p>
      <w:pPr>
        <w:pStyle w:val="ListBullet"/>
      </w:pPr>
      <w:r>
        <w:t>qdrant_research_indexer.py</w:t>
      </w:r>
    </w:p>
    <w:p>
      <w:pPr>
        <w:pStyle w:val="ListBullet"/>
      </w:pPr>
      <w:r>
        <w:t>research_search_service.py</w:t>
      </w:r>
    </w:p>
    <w:p>
      <w:pPr>
        <w:pStyle w:val="ListBullet"/>
      </w:pPr>
      <w:r>
        <w:t>answer_grounding_service.py</w:t>
      </w:r>
    </w:p>
    <w:p>
      <w:pPr>
        <w:pStyle w:val="ListBullet"/>
      </w:pPr>
      <w:r>
        <w:t>evaluation_service.py</w:t>
      </w:r>
    </w:p>
    <w:p>
      <w:pPr>
        <w:pStyle w:val="ListBullet"/>
      </w:pPr>
      <w:r>
        <w:t>research_knowledge_router.py</w:t>
      </w:r>
    </w:p>
    <w:p>
      <w:pPr>
        <w:pStyle w:val="Heading1"/>
      </w:pPr>
      <w:r>
        <w:t>8. Frontend Scaffolds Included</w:t>
      </w:r>
    </w:p>
    <w:p>
      <w:pPr>
        <w:pStyle w:val="ListBullet"/>
      </w:pPr>
      <w:r>
        <w:t>researchKnowledgeClient.js</w:t>
      </w:r>
    </w:p>
    <w:p>
      <w:pPr>
        <w:pStyle w:val="ListBullet"/>
      </w:pPr>
      <w:r>
        <w:t>ResearchKnowledgeAdminScreen.jsx</w:t>
      </w:r>
    </w:p>
    <w:p>
      <w:pPr>
        <w:pStyle w:val="ListBullet"/>
      </w:pPr>
      <w:r>
        <w:t>ResearchKnowledge.css</w:t>
      </w:r>
    </w:p>
    <w:p>
      <w:pPr>
        <w:pStyle w:val="Heading1"/>
      </w:pPr>
      <w:r>
        <w:t>9. Master AI Prompt</w:t>
      </w:r>
    </w:p>
    <w:p>
      <w:r>
        <w:t>Use COPY_THIS_MASTER_PROMPT_TO_AI.md as the full implementation prompt. The prompt instructs the coding AI to build the system in phases, preserve privacy, avoid fake indexing, and return complete changed files plus test outputs.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Build the Färkkilä Lab Research Knowledge Base and AI Assistant Brain.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Use Unified Search + RAG + Knowledge Graph + Evaluation.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Every scientific claim must be backed by a cited source.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Do not hallucinate citations.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Do not send patient-identifiable text to public LLMs.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Do not claim Qdrant indexing works unless verified.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Return complete code, SQL migrations, test output, limitations, and QA checklist.</w:t>
      </w:r>
    </w:p>
    <w:p>
      <w:pPr>
        <w:pStyle w:val="Heading1"/>
      </w:pPr>
      <w:r>
        <w:t>10. Build and Test Commands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python -m compileall app_skeleton/api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pytest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npm run build</w:t>
      </w:r>
    </w:p>
    <w:p>
      <w:pPr>
        <w:pStyle w:val="Heading1"/>
      </w:pPr>
      <w:r>
        <w:t>11. Manual QA Checklist Summary</w:t>
      </w:r>
    </w:p>
    <w:p>
      <w:pPr>
        <w:pStyle w:val="ListBullet"/>
      </w:pPr>
      <w:r>
        <w:t>Crawl Färkkilä public pages.</w:t>
      </w:r>
    </w:p>
    <w:p>
      <w:pPr>
        <w:pStyle w:val="ListBullet"/>
      </w:pPr>
      <w:r>
        <w:t>Ingest publication metadata.</w:t>
      </w:r>
    </w:p>
    <w:p>
      <w:pPr>
        <w:pStyle w:val="ListBullet"/>
      </w:pPr>
      <w:r>
        <w:t>Search MHC class II HGSC and verify source citations.</w:t>
      </w:r>
    </w:p>
    <w:p>
      <w:pPr>
        <w:pStyle w:val="ListBullet"/>
      </w:pPr>
      <w:r>
        <w:t>Search tertiary lymphoid structures ovarian cancer and verify TLS sources.</w:t>
      </w:r>
    </w:p>
    <w:p>
      <w:pPr>
        <w:pStyle w:val="ListBullet"/>
      </w:pPr>
      <w:r>
        <w:t>Search GSE211956 and verify dataset registry result.</w:t>
      </w:r>
    </w:p>
    <w:p>
      <w:pPr>
        <w:pStyle w:val="ListBullet"/>
      </w:pPr>
      <w:r>
        <w:t>Ask AI what Färkkilä Lab is known for and verify citations.</w:t>
      </w:r>
    </w:p>
    <w:p>
      <w:pPr>
        <w:pStyle w:val="ListBullet"/>
      </w:pPr>
      <w:r>
        <w:t>Verify restricted internal documents are hidden from unauthorized users.</w:t>
      </w:r>
    </w:p>
    <w:p>
      <w:pPr>
        <w:pStyle w:val="ListBullet"/>
      </w:pPr>
      <w:r>
        <w:t>Verify no absolute server paths leak.</w:t>
      </w:r>
    </w:p>
    <w:p>
      <w:pPr>
        <w:pStyle w:val="ListBullet"/>
      </w:pPr>
      <w:r>
        <w:t>Verify dark/light/academic themes.</w:t>
      </w:r>
    </w:p>
    <w:p>
      <w:pPr>
        <w:pStyle w:val="Heading1"/>
      </w:pPr>
      <w:r>
        <w:t>12. Folder Map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README_START_HERE.md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COPY_THIS_MASTER_PROMPT_TO_AI.md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00_EXECUTIVE_CONTEXT.md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01_ARCHITECTURE_BLUEPRINT.md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02_SOURCE_SEEDS_AND_RESEARCH_MAP.md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03_DATABASE_MIGRATIONS.sql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04_BACKEND_SCAFFOLDING/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05_FRONTEND_SCAFFOLDING/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06_CONFIG_ASSETS/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07_TEMPLATES/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08_EVALUATION_AND_QA/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09_RUNBOOKS/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OMEIA_Farkkila_Research_KB_Master_Dossier.md</w:t>
      </w:r>
    </w:p>
    <w:p>
      <w:pPr>
        <w:pStyle w:val="Heading1"/>
      </w:pPr>
      <w:r>
        <w:t>13. Final Acceptance Criteria</w:t>
      </w:r>
    </w:p>
    <w:p>
      <w:pPr>
        <w:pStyle w:val="ListBullet"/>
      </w:pPr>
      <w:r>
        <w:t>Assistant answers source-grounded questions about the lab and domain.</w:t>
      </w:r>
    </w:p>
    <w:p>
      <w:pPr>
        <w:pStyle w:val="ListBullet"/>
      </w:pPr>
      <w:r>
        <w:t>Publication and dataset search works.</w:t>
      </w:r>
    </w:p>
    <w:p>
      <w:pPr>
        <w:pStyle w:val="ListBullet"/>
      </w:pPr>
      <w:r>
        <w:t>Qdrant research_knowledge collection uses named vector text.</w:t>
      </w:r>
    </w:p>
    <w:p>
      <w:pPr>
        <w:pStyle w:val="ListBullet"/>
      </w:pPr>
      <w:r>
        <w:t>PostgreSQL registry tracks sources, docs, chunks, datasets, entities, relations, jobs, and evaluations.</w:t>
      </w:r>
    </w:p>
    <w:p>
      <w:pPr>
        <w:pStyle w:val="ListBullet"/>
      </w:pPr>
      <w:r>
        <w:t>AI answers cite retrieved sources and admit uncertainty when coverage is missing.</w:t>
      </w:r>
    </w:p>
    <w:p>
      <w:pPr>
        <w:pStyle w:val="ListBullet"/>
      </w:pPr>
      <w:r>
        <w:t>Evaluation suite exists and can be re-run after ingestion.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