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NXP SEMICONDUCTORS</w:t>
      </w:r>
    </w:p>
    <w:p>
      <w:pPr>
        <w:jc w:val="center"/>
      </w:pPr>
      <w:r>
        <w:rPr>
          <w:b/>
          <w:color w:val="17365D"/>
          <w:sz w:val="56"/>
        </w:rPr>
        <w:t>Senior Principal Data &amp; AI Engineer</w:t>
      </w:r>
    </w:p>
    <w:p>
      <w:pPr>
        <w:jc w:val="center"/>
      </w:pPr>
      <w:r>
        <w:rPr>
          <w:b/>
          <w:color w:val="7030A0"/>
          <w:sz w:val="40"/>
        </w:rPr>
        <w:t>Electricity Maps — Enterprise ETL &amp; AI Architecture</w:t>
      </w:r>
    </w:p>
    <w:p/>
    <w:tbl>
      <w:tblPr>
        <w:tblStyle w:val="TableGrid"/>
        <w:tblW w:type="auto" w:w="0"/>
        <w:tblLook w:firstColumn="1" w:firstRow="1" w:lastColumn="0" w:lastRow="0" w:noHBand="0" w:noVBand="1" w:val="04A0"/>
      </w:tblPr>
      <w:tblGrid>
        <w:gridCol w:w="10224"/>
      </w:tblGrid>
      <w:tr>
        <w:tc>
          <w:tcPr>
            <w:tcW w:type="dxa" w:w="10224"/>
            <w:shd w:fill="FFF2CC"/>
          </w:tcPr>
          <w:p>
            <w:r/>
            <w:r>
              <w:rPr>
                <w:b/>
                <w:color w:val="BF9000"/>
                <w:sz w:val="20"/>
              </w:rPr>
              <w:t>Submission strategy</w:t>
              <w:br/>
            </w:r>
            <w:r>
              <w:rPr>
                <w:sz w:val="18"/>
              </w:rPr>
              <w:t>Strictly implement the required PySpark + Delta Lake + Parquet contract first, then layer enterprise capabilities—object storage, orchestration, advanced DQ, security/PII, performance engineering, CI/CD and governed RAG/LLM architecture—without introducing unnecessary platform dependencies.</w:t>
            </w:r>
          </w:p>
        </w:tc>
      </w:tr>
    </w:tbl>
    <w:p/>
    <w:p>
      <w:pPr>
        <w:jc w:val="center"/>
      </w:pPr>
      <w:r>
        <w:rPr>
          <w:i/>
          <w:color w:val="666666"/>
          <w:sz w:val="20"/>
        </w:rPr>
        <w:t>Prepared as a reviewer-oriented, production-grade technical design</w:t>
      </w:r>
    </w:p>
    <w:p>
      <w:r>
        <w:br w:type="page"/>
      </w:r>
    </w:p>
    <w:p>
      <w:pPr>
        <w:pStyle w:val="Heading1"/>
      </w:pPr>
      <w:r>
        <w:t>1. Executive Summary</w:t>
      </w:r>
    </w:p>
    <w:p>
      <w:r>
        <w:t>This solution implements a production-oriented, modular and extensible ETL framework for Electricity Maps France (FR) hourly electricity flows and production-mix data. The mandatory implementation follows the assignment's permitted PySpark option and required Bronze → Silver → Gold medallion model. Silver and Gold are persisted as Delta Lake tables with Parquet data files; Bronze remains raw and immutable without schema enforcement.</w:t>
      </w:r>
    </w:p>
    <w:p>
      <w:r>
        <w:t>The design extends the assignment into a reusable enterprise data platform with incremental and idempotent ingestion, advanced data quality and domain validation, data contracts, schema evolution, PII/security controls, encryption and secrets management, observability, performance optimization, automated testing, CI/CD, orchestration, and a governed RAG/LLM data-agent architecture.</w:t>
      </w:r>
    </w:p>
    <w:tbl>
      <w:tblPr>
        <w:tblStyle w:val="TableGrid"/>
        <w:tblW w:type="auto" w:w="0"/>
        <w:tblLook w:firstColumn="1" w:firstRow="1" w:lastColumn="0" w:lastRow="0" w:noHBand="0" w:noVBand="1" w:val="04A0"/>
      </w:tblPr>
      <w:tblGrid>
        <w:gridCol w:w="10224"/>
      </w:tblGrid>
      <w:tr>
        <w:tc>
          <w:tcPr>
            <w:tcW w:type="dxa" w:w="10224"/>
            <w:shd w:fill="DDEBF7"/>
          </w:tcPr>
          <w:p>
            <w:r/>
            <w:r>
              <w:rPr>
                <w:b/>
                <w:color w:val="2F5597"/>
                <w:sz w:val="20"/>
              </w:rPr>
              <w:t>Principal-level architectural principle</w:t>
              <w:br/>
            </w:r>
            <w:r>
              <w:rPr>
                <w:sz w:val="18"/>
              </w:rPr>
              <w:t>The lakehouse/data products are the system of record. The semantic layer is the analytical contract. The Data Agent orchestrates tools. RAG provides contextual knowledge. The LLM synthesizes a grounded response; it is not the source of truth for numerical analytics.</w:t>
            </w:r>
          </w:p>
        </w:tc>
      </w:tr>
    </w:tbl>
    <w:p/>
    <w:p>
      <w:pPr>
        <w:pStyle w:val="Heading1"/>
      </w:pPr>
      <w:r>
        <w:t>2. Assignment Requirement Traceability</w:t>
      </w:r>
    </w:p>
    <w:p>
      <w:r>
        <w:t>The table below maps the requested assignment contract to the proposed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7365D"/>
          </w:tcPr>
          <w:p>
            <w:r/>
            <w:r>
              <w:rPr>
                <w:b/>
                <w:color w:val="FFFFFF"/>
                <w:sz w:val="17"/>
              </w:rPr>
              <w:t>NXP requirement</w:t>
            </w:r>
          </w:p>
        </w:tc>
        <w:tc>
          <w:tcPr>
            <w:tcW w:type="dxa" w:w="5184"/>
            <w:vAlign w:val="center"/>
            <w:shd w:fill="17365D"/>
          </w:tcPr>
          <w:p>
            <w:r/>
            <w:r>
              <w:rPr>
                <w:b/>
                <w:color w:val="FFFFFF"/>
                <w:sz w:val="17"/>
              </w:rPr>
              <w:t>Implementation decision</w:t>
            </w:r>
          </w:p>
        </w:tc>
        <w:tc>
          <w:tcPr>
            <w:tcW w:type="dxa" w:w="1584"/>
            <w:vAlign w:val="center"/>
            <w:shd w:fill="17365D"/>
          </w:tcPr>
          <w:p>
            <w:r/>
            <w:r>
              <w:rPr>
                <w:b/>
                <w:color w:val="FFFFFF"/>
                <w:sz w:val="17"/>
              </w:rPr>
              <w:t>Status</w:t>
            </w:r>
          </w:p>
        </w:tc>
      </w:tr>
      <w:tr>
        <w:tc>
          <w:tcPr>
            <w:tcW w:type="dxa" w:w="2880"/>
            <w:vAlign w:val="center"/>
            <w:shd w:fill="F7F9FC"/>
          </w:tcPr>
          <w:p>
            <w:r/>
            <w:r>
              <w:rPr>
                <w:b w:val="0"/>
                <w:sz w:val="16"/>
              </w:rPr>
              <w:t>Python framework</w:t>
            </w:r>
          </w:p>
        </w:tc>
        <w:tc>
          <w:tcPr>
            <w:tcW w:type="dxa" w:w="5184"/>
            <w:vAlign w:val="center"/>
            <w:shd w:fill="F7F9FC"/>
          </w:tcPr>
          <w:p>
            <w:r/>
            <w:r>
              <w:rPr>
                <w:b w:val="0"/>
                <w:sz w:val="16"/>
              </w:rPr>
              <w:t>PySpark</w:t>
            </w:r>
          </w:p>
        </w:tc>
        <w:tc>
          <w:tcPr>
            <w:tcW w:type="dxa" w:w="1584"/>
            <w:vAlign w:val="center"/>
            <w:shd w:fill="F7F9FC"/>
          </w:tcPr>
          <w:p>
            <w:r/>
            <w:r>
              <w:rPr>
                <w:b w:val="0"/>
                <w:sz w:val="16"/>
              </w:rPr>
              <w:t>Mandatory</w:t>
            </w:r>
          </w:p>
        </w:tc>
      </w:tr>
      <w:tr>
        <w:tc>
          <w:tcPr>
            <w:tcW w:type="dxa" w:w="2880"/>
            <w:vAlign w:val="center"/>
          </w:tcPr>
          <w:p>
            <w:r/>
            <w:r>
              <w:rPr>
                <w:b w:val="0"/>
                <w:sz w:val="16"/>
              </w:rPr>
              <w:t>Bronze</w:t>
            </w:r>
          </w:p>
        </w:tc>
        <w:tc>
          <w:tcPr>
            <w:tcW w:type="dxa" w:w="5184"/>
            <w:vAlign w:val="center"/>
          </w:tcPr>
          <w:p>
            <w:r/>
            <w:r>
              <w:rPr>
                <w:b w:val="0"/>
                <w:sz w:val="16"/>
              </w:rPr>
              <w:t>Raw immutable JSON/JSONL; no schema enforcement</w:t>
            </w:r>
          </w:p>
        </w:tc>
        <w:tc>
          <w:tcPr>
            <w:tcW w:type="dxa" w:w="1584"/>
            <w:vAlign w:val="center"/>
          </w:tcPr>
          <w:p>
            <w:r/>
            <w:r>
              <w:rPr>
                <w:b w:val="0"/>
                <w:sz w:val="16"/>
              </w:rPr>
              <w:t>Mandatory</w:t>
            </w:r>
          </w:p>
        </w:tc>
      </w:tr>
      <w:tr>
        <w:tc>
          <w:tcPr>
            <w:tcW w:type="dxa" w:w="2880"/>
            <w:vAlign w:val="center"/>
            <w:shd w:fill="F7F9FC"/>
          </w:tcPr>
          <w:p>
            <w:r/>
            <w:r>
              <w:rPr>
                <w:b w:val="0"/>
                <w:sz w:val="16"/>
              </w:rPr>
              <w:t>Bronze metadata</w:t>
            </w:r>
          </w:p>
        </w:tc>
        <w:tc>
          <w:tcPr>
            <w:tcW w:type="dxa" w:w="5184"/>
            <w:vAlign w:val="center"/>
            <w:shd w:fill="F7F9FC"/>
          </w:tcPr>
          <w:p>
            <w:r/>
            <w:r>
              <w:rPr>
                <w:b w:val="0"/>
                <w:sz w:val="16"/>
              </w:rPr>
              <w:t>Ingestion timestamp + source URL; additional request/audit metadata</w:t>
            </w:r>
          </w:p>
        </w:tc>
        <w:tc>
          <w:tcPr>
            <w:tcW w:type="dxa" w:w="1584"/>
            <w:vAlign w:val="center"/>
            <w:shd w:fill="F7F9FC"/>
          </w:tcPr>
          <w:p>
            <w:r/>
            <w:r>
              <w:rPr>
                <w:b w:val="0"/>
                <w:sz w:val="16"/>
              </w:rPr>
              <w:t>Mandatory + enterprise</w:t>
            </w:r>
          </w:p>
        </w:tc>
      </w:tr>
      <w:tr>
        <w:tc>
          <w:tcPr>
            <w:tcW w:type="dxa" w:w="2880"/>
            <w:vAlign w:val="center"/>
          </w:tcPr>
          <w:p>
            <w:r/>
            <w:r>
              <w:rPr>
                <w:b w:val="0"/>
                <w:sz w:val="16"/>
              </w:rPr>
              <w:t>Bronze partition</w:t>
            </w:r>
          </w:p>
        </w:tc>
        <w:tc>
          <w:tcPr>
            <w:tcW w:type="dxa" w:w="5184"/>
            <w:vAlign w:val="center"/>
          </w:tcPr>
          <w:p>
            <w:r/>
            <w:r>
              <w:rPr>
                <w:b w:val="0"/>
                <w:sz w:val="16"/>
              </w:rPr>
              <w:t>year/month/day from ingestion timestamp</w:t>
            </w:r>
          </w:p>
        </w:tc>
        <w:tc>
          <w:tcPr>
            <w:tcW w:type="dxa" w:w="1584"/>
            <w:vAlign w:val="center"/>
          </w:tcPr>
          <w:p>
            <w:r/>
            <w:r>
              <w:rPr>
                <w:b w:val="0"/>
                <w:sz w:val="16"/>
              </w:rPr>
              <w:t>Mandatory</w:t>
            </w:r>
          </w:p>
        </w:tc>
      </w:tr>
      <w:tr>
        <w:tc>
          <w:tcPr>
            <w:tcW w:type="dxa" w:w="2880"/>
            <w:vAlign w:val="center"/>
            <w:shd w:fill="F7F9FC"/>
          </w:tcPr>
          <w:p>
            <w:r/>
            <w:r>
              <w:rPr>
                <w:b w:val="0"/>
                <w:sz w:val="16"/>
              </w:rPr>
              <w:t>Silver</w:t>
            </w:r>
          </w:p>
        </w:tc>
        <w:tc>
          <w:tcPr>
            <w:tcW w:type="dxa" w:w="5184"/>
            <w:vAlign w:val="center"/>
            <w:shd w:fill="F7F9FC"/>
          </w:tcPr>
          <w:p>
            <w:r/>
            <w:r>
              <w:rPr>
                <w:b w:val="0"/>
                <w:sz w:val="16"/>
              </w:rPr>
              <w:t>Delta Lake + Parquet physical data files</w:t>
            </w:r>
          </w:p>
        </w:tc>
        <w:tc>
          <w:tcPr>
            <w:tcW w:type="dxa" w:w="1584"/>
            <w:vAlign w:val="center"/>
            <w:shd w:fill="F7F9FC"/>
          </w:tcPr>
          <w:p>
            <w:r/>
            <w:r>
              <w:rPr>
                <w:b w:val="0"/>
                <w:sz w:val="16"/>
              </w:rPr>
              <w:t>Mandatory</w:t>
            </w:r>
          </w:p>
        </w:tc>
      </w:tr>
      <w:tr>
        <w:tc>
          <w:tcPr>
            <w:tcW w:type="dxa" w:w="2880"/>
            <w:vAlign w:val="center"/>
          </w:tcPr>
          <w:p>
            <w:r/>
            <w:r>
              <w:rPr>
                <w:b w:val="0"/>
                <w:sz w:val="16"/>
              </w:rPr>
              <w:t>Silver transformation</w:t>
            </w:r>
          </w:p>
        </w:tc>
        <w:tc>
          <w:tcPr>
            <w:tcW w:type="dxa" w:w="5184"/>
            <w:vAlign w:val="center"/>
          </w:tcPr>
          <w:p>
            <w:r/>
            <w:r>
              <w:rPr>
                <w:b w:val="0"/>
                <w:sz w:val="16"/>
              </w:rPr>
              <w:t>Flattening, timestamp normalization, strong schema, deduplication</w:t>
            </w:r>
          </w:p>
        </w:tc>
        <w:tc>
          <w:tcPr>
            <w:tcW w:type="dxa" w:w="1584"/>
            <w:vAlign w:val="center"/>
          </w:tcPr>
          <w:p>
            <w:r/>
            <w:r>
              <w:rPr>
                <w:b w:val="0"/>
                <w:sz w:val="16"/>
              </w:rPr>
              <w:t>Mandatory</w:t>
            </w:r>
          </w:p>
        </w:tc>
      </w:tr>
      <w:tr>
        <w:tc>
          <w:tcPr>
            <w:tcW w:type="dxa" w:w="2880"/>
            <w:vAlign w:val="center"/>
            <w:shd w:fill="F7F9FC"/>
          </w:tcPr>
          <w:p>
            <w:r/>
            <w:r>
              <w:rPr>
                <w:b w:val="0"/>
                <w:sz w:val="16"/>
              </w:rPr>
              <w:t>Silver partition</w:t>
            </w:r>
          </w:p>
        </w:tc>
        <w:tc>
          <w:tcPr>
            <w:tcW w:type="dxa" w:w="5184"/>
            <w:vAlign w:val="center"/>
            <w:shd w:fill="F7F9FC"/>
          </w:tcPr>
          <w:p>
            <w:r/>
            <w:r>
              <w:rPr>
                <w:b w:val="0"/>
                <w:sz w:val="16"/>
              </w:rPr>
              <w:t>year/month/day from data timestamp</w:t>
            </w:r>
          </w:p>
        </w:tc>
        <w:tc>
          <w:tcPr>
            <w:tcW w:type="dxa" w:w="1584"/>
            <w:vAlign w:val="center"/>
            <w:shd w:fill="F7F9FC"/>
          </w:tcPr>
          <w:p>
            <w:r/>
            <w:r>
              <w:rPr>
                <w:b w:val="0"/>
                <w:sz w:val="16"/>
              </w:rPr>
              <w:t>Mandatory</w:t>
            </w:r>
          </w:p>
        </w:tc>
      </w:tr>
      <w:tr>
        <w:tc>
          <w:tcPr>
            <w:tcW w:type="dxa" w:w="2880"/>
            <w:vAlign w:val="center"/>
          </w:tcPr>
          <w:p>
            <w:r/>
            <w:r>
              <w:rPr>
                <w:b w:val="0"/>
                <w:sz w:val="16"/>
              </w:rPr>
              <w:t>Gold</w:t>
            </w:r>
          </w:p>
        </w:tc>
        <w:tc>
          <w:tcPr>
            <w:tcW w:type="dxa" w:w="5184"/>
            <w:vAlign w:val="center"/>
          </w:tcPr>
          <w:p>
            <w:r/>
            <w:r>
              <w:rPr>
                <w:b w:val="0"/>
                <w:sz w:val="16"/>
              </w:rPr>
              <w:t>Delta Lake + Parquet; flat schemas</w:t>
            </w:r>
          </w:p>
        </w:tc>
        <w:tc>
          <w:tcPr>
            <w:tcW w:type="dxa" w:w="1584"/>
            <w:vAlign w:val="center"/>
          </w:tcPr>
          <w:p>
            <w:r/>
            <w:r>
              <w:rPr>
                <w:b w:val="0"/>
                <w:sz w:val="16"/>
              </w:rPr>
              <w:t>Mandatory</w:t>
            </w:r>
          </w:p>
        </w:tc>
      </w:tr>
      <w:tr>
        <w:tc>
          <w:tcPr>
            <w:tcW w:type="dxa" w:w="2880"/>
            <w:vAlign w:val="center"/>
            <w:shd w:fill="F7F9FC"/>
          </w:tcPr>
          <w:p>
            <w:r/>
            <w:r>
              <w:rPr>
                <w:b w:val="0"/>
                <w:sz w:val="16"/>
              </w:rPr>
              <w:t>Gold products</w:t>
            </w:r>
          </w:p>
        </w:tc>
        <w:tc>
          <w:tcPr>
            <w:tcW w:type="dxa" w:w="5184"/>
            <w:vAlign w:val="center"/>
            <w:shd w:fill="F7F9FC"/>
          </w:tcPr>
          <w:p>
            <w:r/>
            <w:r>
              <w:rPr>
                <w:b w:val="0"/>
                <w:sz w:val="16"/>
              </w:rPr>
              <w:t>Daily Mix + Daily Net Imports + Daily Net Exports</w:t>
            </w:r>
          </w:p>
        </w:tc>
        <w:tc>
          <w:tcPr>
            <w:tcW w:type="dxa" w:w="1584"/>
            <w:vAlign w:val="center"/>
            <w:shd w:fill="F7F9FC"/>
          </w:tcPr>
          <w:p>
            <w:r/>
            <w:r>
              <w:rPr>
                <w:b w:val="0"/>
                <w:sz w:val="16"/>
              </w:rPr>
              <w:t>Mandatory/extended</w:t>
            </w:r>
          </w:p>
        </w:tc>
      </w:tr>
      <w:tr>
        <w:tc>
          <w:tcPr>
            <w:tcW w:type="dxa" w:w="2880"/>
            <w:vAlign w:val="center"/>
          </w:tcPr>
          <w:p>
            <w:r/>
            <w:r>
              <w:rPr>
                <w:b w:val="0"/>
                <w:sz w:val="16"/>
              </w:rPr>
              <w:t>Cloud storage</w:t>
            </w:r>
          </w:p>
        </w:tc>
        <w:tc>
          <w:tcPr>
            <w:tcW w:type="dxa" w:w="5184"/>
            <w:vAlign w:val="center"/>
          </w:tcPr>
          <w:p>
            <w:r/>
            <w:r>
              <w:rPr>
                <w:b w:val="0"/>
                <w:sz w:val="16"/>
              </w:rPr>
              <w:t>Abstract object-storage layer; S3-compatible deployment option</w:t>
            </w:r>
          </w:p>
        </w:tc>
        <w:tc>
          <w:tcPr>
            <w:tcW w:type="dxa" w:w="1584"/>
            <w:vAlign w:val="center"/>
          </w:tcPr>
          <w:p>
            <w:r/>
            <w:r>
              <w:rPr>
                <w:b w:val="0"/>
                <w:sz w:val="16"/>
              </w:rPr>
              <w:t>Enterprise extension</w:t>
            </w:r>
          </w:p>
        </w:tc>
      </w:tr>
      <w:tr>
        <w:tc>
          <w:tcPr>
            <w:tcW w:type="dxa" w:w="2880"/>
            <w:vAlign w:val="center"/>
            <w:shd w:fill="F7F9FC"/>
          </w:tcPr>
          <w:p>
            <w:r/>
            <w:r>
              <w:rPr>
                <w:b w:val="0"/>
                <w:sz w:val="16"/>
              </w:rPr>
              <w:t>Orchestration</w:t>
            </w:r>
          </w:p>
        </w:tc>
        <w:tc>
          <w:tcPr>
            <w:tcW w:type="dxa" w:w="5184"/>
            <w:vAlign w:val="center"/>
            <w:shd w:fill="F7F9FC"/>
          </w:tcPr>
          <w:p>
            <w:r/>
            <w:r>
              <w:rPr>
                <w:b w:val="0"/>
                <w:sz w:val="16"/>
              </w:rPr>
              <w:t>Reusable DAG/workflow interface</w:t>
            </w:r>
          </w:p>
        </w:tc>
        <w:tc>
          <w:tcPr>
            <w:tcW w:type="dxa" w:w="1584"/>
            <w:vAlign w:val="center"/>
            <w:shd w:fill="F7F9FC"/>
          </w:tcPr>
          <w:p>
            <w:r/>
            <w:r>
              <w:rPr>
                <w:b w:val="0"/>
                <w:sz w:val="16"/>
              </w:rPr>
              <w:t>Enterprise extension</w:t>
            </w:r>
          </w:p>
        </w:tc>
      </w:tr>
      <w:tr>
        <w:tc>
          <w:tcPr>
            <w:tcW w:type="dxa" w:w="2880"/>
            <w:vAlign w:val="center"/>
          </w:tcPr>
          <w:p>
            <w:r/>
            <w:r>
              <w:rPr>
                <w:b w:val="0"/>
                <w:sz w:val="16"/>
              </w:rPr>
              <w:t>DQ + contracts</w:t>
            </w:r>
          </w:p>
        </w:tc>
        <w:tc>
          <w:tcPr>
            <w:tcW w:type="dxa" w:w="5184"/>
            <w:vAlign w:val="center"/>
          </w:tcPr>
          <w:p>
            <w:r/>
            <w:r>
              <w:rPr>
                <w:b w:val="0"/>
                <w:sz w:val="16"/>
              </w:rPr>
              <w:t>Multi-layer DQ engine + versioned contracts</w:t>
            </w:r>
          </w:p>
        </w:tc>
        <w:tc>
          <w:tcPr>
            <w:tcW w:type="dxa" w:w="1584"/>
            <w:vAlign w:val="center"/>
          </w:tcPr>
          <w:p>
            <w:r/>
            <w:r>
              <w:rPr>
                <w:b w:val="0"/>
                <w:sz w:val="16"/>
              </w:rPr>
              <w:t>Enterprise extension</w:t>
            </w:r>
          </w:p>
        </w:tc>
      </w:tr>
      <w:tr>
        <w:tc>
          <w:tcPr>
            <w:tcW w:type="dxa" w:w="2880"/>
            <w:vAlign w:val="center"/>
            <w:shd w:fill="F7F9FC"/>
          </w:tcPr>
          <w:p>
            <w:r/>
            <w:r>
              <w:rPr>
                <w:b w:val="0"/>
                <w:sz w:val="16"/>
              </w:rPr>
              <w:t>Retries/rate limits</w:t>
            </w:r>
          </w:p>
        </w:tc>
        <w:tc>
          <w:tcPr>
            <w:tcW w:type="dxa" w:w="5184"/>
            <w:vAlign w:val="center"/>
            <w:shd w:fill="F7F9FC"/>
          </w:tcPr>
          <w:p>
            <w:r/>
            <w:r>
              <w:rPr>
                <w:b w:val="0"/>
                <w:sz w:val="16"/>
              </w:rPr>
              <w:t>Exponential backoff, jitter, 429/5xx handling</w:t>
            </w:r>
          </w:p>
        </w:tc>
        <w:tc>
          <w:tcPr>
            <w:tcW w:type="dxa" w:w="1584"/>
            <w:vAlign w:val="center"/>
            <w:shd w:fill="F7F9FC"/>
          </w:tcPr>
          <w:p>
            <w:r/>
            <w:r>
              <w:rPr>
                <w:b w:val="0"/>
                <w:sz w:val="16"/>
              </w:rPr>
              <w:t>Enterprise extension</w:t>
            </w:r>
          </w:p>
        </w:tc>
      </w:tr>
      <w:tr>
        <w:tc>
          <w:tcPr>
            <w:tcW w:type="dxa" w:w="2880"/>
            <w:vAlign w:val="center"/>
          </w:tcPr>
          <w:p>
            <w:r/>
            <w:r>
              <w:rPr>
                <w:b w:val="0"/>
                <w:sz w:val="16"/>
              </w:rPr>
              <w:t>Incremental ingestion</w:t>
            </w:r>
          </w:p>
        </w:tc>
        <w:tc>
          <w:tcPr>
            <w:tcW w:type="dxa" w:w="5184"/>
            <w:vAlign w:val="center"/>
          </w:tcPr>
          <w:p>
            <w:r/>
            <w:r>
              <w:rPr>
                <w:b w:val="0"/>
                <w:sz w:val="16"/>
              </w:rPr>
              <w:t>Watermarks + idempotent writes + replay support</w:t>
            </w:r>
          </w:p>
        </w:tc>
        <w:tc>
          <w:tcPr>
            <w:tcW w:type="dxa" w:w="1584"/>
            <w:vAlign w:val="center"/>
          </w:tcPr>
          <w:p>
            <w:r/>
            <w:r>
              <w:rPr>
                <w:b w:val="0"/>
                <w:sz w:val="16"/>
              </w:rPr>
              <w:t>Enterprise extension</w:t>
            </w:r>
          </w:p>
        </w:tc>
      </w:tr>
      <w:tr>
        <w:tc>
          <w:tcPr>
            <w:tcW w:type="dxa" w:w="2880"/>
            <w:vAlign w:val="center"/>
            <w:shd w:fill="F7F9FC"/>
          </w:tcPr>
          <w:p>
            <w:r/>
            <w:r>
              <w:rPr>
                <w:b w:val="0"/>
                <w:sz w:val="16"/>
              </w:rPr>
              <w:t>CI/CD</w:t>
            </w:r>
          </w:p>
        </w:tc>
        <w:tc>
          <w:tcPr>
            <w:tcW w:type="dxa" w:w="5184"/>
            <w:vAlign w:val="center"/>
            <w:shd w:fill="F7F9FC"/>
          </w:tcPr>
          <w:p>
            <w:r/>
            <w:r>
              <w:rPr>
                <w:b w:val="0"/>
                <w:sz w:val="16"/>
              </w:rPr>
              <w:t>Lint, tests, security scan, build and deployment gates</w:t>
            </w:r>
          </w:p>
        </w:tc>
        <w:tc>
          <w:tcPr>
            <w:tcW w:type="dxa" w:w="1584"/>
            <w:vAlign w:val="center"/>
            <w:shd w:fill="F7F9FC"/>
          </w:tcPr>
          <w:p>
            <w:r/>
            <w:r>
              <w:rPr>
                <w:b w:val="0"/>
                <w:sz w:val="16"/>
              </w:rPr>
              <w:t>Enterprise extension</w:t>
            </w:r>
          </w:p>
        </w:tc>
      </w:tr>
      <w:tr>
        <w:tc>
          <w:tcPr>
            <w:tcW w:type="dxa" w:w="2880"/>
            <w:vAlign w:val="center"/>
          </w:tcPr>
          <w:p>
            <w:r/>
            <w:r>
              <w:rPr>
                <w:b w:val="0"/>
                <w:sz w:val="16"/>
              </w:rPr>
              <w:t>RAG/LLM</w:t>
            </w:r>
          </w:p>
        </w:tc>
        <w:tc>
          <w:tcPr>
            <w:tcW w:type="dxa" w:w="5184"/>
            <w:vAlign w:val="center"/>
          </w:tcPr>
          <w:p>
            <w:r/>
            <w:r>
              <w:rPr>
                <w:b w:val="0"/>
                <w:sz w:val="16"/>
              </w:rPr>
              <w:t>Governed Data Agent with SQL + RAG + metrics tools</w:t>
            </w:r>
          </w:p>
        </w:tc>
        <w:tc>
          <w:tcPr>
            <w:tcW w:type="dxa" w:w="1584"/>
            <w:vAlign w:val="center"/>
          </w:tcPr>
          <w:p>
            <w:r/>
            <w:r>
              <w:rPr>
                <w:b w:val="0"/>
                <w:sz w:val="16"/>
              </w:rPr>
              <w:t>Design extension</w:t>
            </w:r>
          </w:p>
        </w:tc>
      </w:tr>
    </w:tbl>
    <w:p/>
    <w:p>
      <w:pPr>
        <w:pStyle w:val="Heading1"/>
      </w:pPr>
      <w:r>
        <w:t>3. Target Enterprise Architecture</w:t>
      </w:r>
    </w:p>
    <w:p>
      <w:pPr>
        <w:jc w:val="center"/>
      </w:pPr>
      <w:r>
        <w:rPr>
          <w:b/>
        </w:rPr>
        <w:t>Figure 1 — End-to-End Enterprise Architecture</w:t>
      </w:r>
    </w:p>
    <w:p>
      <w:pPr>
        <w:jc w:val="center"/>
      </w:pPr>
      <w:r>
        <w:drawing>
          <wp:inline xmlns:a="http://schemas.openxmlformats.org/drawingml/2006/main" xmlns:pic="http://schemas.openxmlformats.org/drawingml/2006/picture">
            <wp:extent cx="6217920" cy="464827"/>
            <wp:docPr id="1" name="Picture 1"/>
            <wp:cNvGraphicFramePr>
              <a:graphicFrameLocks noChangeAspect="1"/>
            </wp:cNvGraphicFramePr>
            <a:graphic>
              <a:graphicData uri="http://schemas.openxmlformats.org/drawingml/2006/picture">
                <pic:pic>
                  <pic:nvPicPr>
                    <pic:cNvPr id="0" name="01_overall.png"/>
                    <pic:cNvPicPr/>
                  </pic:nvPicPr>
                  <pic:blipFill>
                    <a:blip r:embed="rId11"/>
                    <a:stretch>
                      <a:fillRect/>
                    </a:stretch>
                  </pic:blipFill>
                  <pic:spPr>
                    <a:xfrm>
                      <a:off x="0" y="0"/>
                      <a:ext cx="6217920" cy="464827"/>
                    </a:xfrm>
                    <a:prstGeom prst="rect"/>
                  </pic:spPr>
                </pic:pic>
              </a:graphicData>
            </a:graphic>
          </wp:inline>
        </w:drawing>
      </w:r>
    </w:p>
    <w:p>
      <w:pPr>
        <w:jc w:val="center"/>
      </w:pPr>
      <w:r>
        <w:rPr>
          <w:i/>
          <w:color w:val="666666"/>
          <w:sz w:val="16"/>
        </w:rPr>
        <w:t>Enterprise-standard vector-style architecture diagram. The SVG version is included in the companion package for import into Visio/draw.io.</w:t>
      </w:r>
    </w:p>
    <w:p>
      <w:r>
        <w:t>The architecture deliberately separates the mandatory data-engineering implementation from optional enterprise infrastructure. This preserves assignment compliance while demonstrating how the solution would evolve into a governed production platform.</w:t>
      </w:r>
    </w:p>
    <w:p>
      <w:pPr>
        <w:pStyle w:val="Heading1"/>
      </w:pPr>
      <w:r>
        <w:t>4. Medallion Data Architecture</w:t>
      </w:r>
    </w:p>
    <w:p>
      <w:pPr>
        <w:jc w:val="center"/>
      </w:pPr>
      <w:r>
        <w:rPr>
          <w:b/>
        </w:rPr>
        <w:t>Figure 2 — Bronze → Silver → Gold Data Flow</w:t>
      </w:r>
    </w:p>
    <w:p>
      <w:pPr>
        <w:jc w:val="center"/>
      </w:pPr>
      <w:r>
        <w:drawing>
          <wp:inline xmlns:a="http://schemas.openxmlformats.org/drawingml/2006/main" xmlns:pic="http://schemas.openxmlformats.org/drawingml/2006/picture">
            <wp:extent cx="6217920" cy="1243584"/>
            <wp:docPr id="2" name="Picture 2"/>
            <wp:cNvGraphicFramePr>
              <a:graphicFrameLocks noChangeAspect="1"/>
            </wp:cNvGraphicFramePr>
            <a:graphic>
              <a:graphicData uri="http://schemas.openxmlformats.org/drawingml/2006/picture">
                <pic:pic>
                  <pic:nvPicPr>
                    <pic:cNvPr id="0" name="02_medallion.png"/>
                    <pic:cNvPicPr/>
                  </pic:nvPicPr>
                  <pic:blipFill>
                    <a:blip r:embed="rId12"/>
                    <a:stretch>
                      <a:fillRect/>
                    </a:stretch>
                  </pic:blipFill>
                  <pic:spPr>
                    <a:xfrm>
                      <a:off x="0" y="0"/>
                      <a:ext cx="6217920" cy="1243584"/>
                    </a:xfrm>
                    <a:prstGeom prst="rect"/>
                  </pic:spPr>
                </pic:pic>
              </a:graphicData>
            </a:graphic>
          </wp:inline>
        </w:drawing>
      </w:r>
    </w:p>
    <w:p>
      <w:pPr>
        <w:pStyle w:val="Heading2"/>
      </w:pPr>
      <w:r>
        <w:t>4.1 Bronze — Raw Immutable Data</w:t>
      </w:r>
    </w:p>
    <w:p>
      <w:pPr>
        <w:pStyle w:val="ListBullet"/>
        <w:spacing w:after="40"/>
      </w:pPr>
      <w:r>
        <w:t>Store the raw API response as returned by Electricity Maps, without business transformation.</w:t>
      </w:r>
    </w:p>
    <w:p>
      <w:pPr>
        <w:pStyle w:val="ListBullet"/>
        <w:spacing w:after="40"/>
      </w:pPr>
      <w:r>
        <w:t>Add ingestion timestamp and source URL as the required metadata.</w:t>
      </w:r>
    </w:p>
    <w:p>
      <w:pPr>
        <w:pStyle w:val="ListBullet"/>
        <w:spacing w:after="40"/>
      </w:pPr>
      <w:r>
        <w:t>Use ingestion timestamp for year/month/day partitioning.</w:t>
      </w:r>
    </w:p>
    <w:p>
      <w:pPr>
        <w:pStyle w:val="ListBullet"/>
        <w:spacing w:after="40"/>
      </w:pPr>
      <w:r>
        <w:t>Keep a request identifier and checksum as enterprise metadata for replay, traceability and idempotency.</w:t>
      </w:r>
    </w:p>
    <w:p>
      <w:pPr>
        <w:pStyle w:val="ListBullet"/>
        <w:spacing w:after="40"/>
      </w:pPr>
      <w:r>
        <w:t>Do not enforce a business schema at Bronze.</w:t>
      </w:r>
    </w:p>
    <w:p>
      <w:pPr>
        <w:ind w:left="288" w:right="288"/>
        <w:shd w:fill="F3F5F7"/>
      </w:pPr>
      <w:r>
        <w:rPr>
          <w:rFonts w:ascii="Consolas" w:hAnsi="Consolas"/>
          <w:color w:val="222222"/>
          <w:sz w:val="16"/>
        </w:rPr>
        <w:t>bronze/</w:t>
        <w:br/>
        <w:t>├── flows/</w:t>
        <w:br/>
        <w:t>│   └── year=YYYY/month=MM/day=DD/</w:t>
        <w:br/>
        <w:t>│       └── &lt;request_id&gt;.json</w:t>
        <w:br/>
        <w:t>└── mix/</w:t>
        <w:br/>
        <w:t xml:space="preserve">    └── year=YYYY/month=MM/day=DD/</w:t>
        <w:br/>
        <w:t xml:space="preserve">        └── &lt;request_id&gt;.json</w:t>
      </w:r>
    </w:p>
    <w:p>
      <w:pPr>
        <w:pStyle w:val="Heading2"/>
      </w:pPr>
      <w:r>
        <w:t>4.2 Silver — Clean Structured Data</w:t>
      </w:r>
    </w:p>
    <w:p>
      <w:pPr>
        <w:pStyle w:val="ListBullet"/>
        <w:spacing w:after="40"/>
      </w:pPr>
      <w:r>
        <w:t>Read Bronze payloads using PySpark.</w:t>
      </w:r>
    </w:p>
    <w:p>
      <w:pPr>
        <w:pStyle w:val="ListBullet"/>
        <w:spacing w:after="40"/>
      </w:pPr>
      <w:r>
        <w:t>Parse and flatten nested JSON structures.</w:t>
      </w:r>
    </w:p>
    <w:p>
      <w:pPr>
        <w:pStyle w:val="ListBullet"/>
        <w:spacing w:after="40"/>
      </w:pPr>
      <w:r>
        <w:t>Normalize timestamps to a canonical timezone representation.</w:t>
      </w:r>
    </w:p>
    <w:p>
      <w:pPr>
        <w:pStyle w:val="ListBullet"/>
        <w:spacing w:after="40"/>
      </w:pPr>
      <w:r>
        <w:t>Apply explicit, versioned schemas and compatible schema-evolution rules.</w:t>
      </w:r>
    </w:p>
    <w:p>
      <w:pPr>
        <w:pStyle w:val="ListBullet"/>
        <w:spacing w:after="40"/>
      </w:pPr>
      <w:r>
        <w:t>Run structural, completeness, validity, uniqueness and domain-specific DQ.</w:t>
      </w:r>
    </w:p>
    <w:p>
      <w:pPr>
        <w:pStyle w:val="ListBullet"/>
        <w:spacing w:after="40"/>
      </w:pPr>
      <w:r>
        <w:t>Deduplicate using business keys and deterministic latest-ingestion selection.</w:t>
      </w:r>
    </w:p>
    <w:p>
      <w:pPr>
        <w:pStyle w:val="ListBullet"/>
        <w:spacing w:after="40"/>
      </w:pPr>
      <w:r>
        <w:t>Persist Delta tables with Parquet data files.</w:t>
      </w:r>
    </w:p>
    <w:p>
      <w:pPr>
        <w:pStyle w:val="ListBullet"/>
        <w:spacing w:after="40"/>
      </w:pPr>
      <w:r>
        <w:t>Use data timestamp—not ingestion timestamp—for year/month/day partitioning.</w:t>
      </w:r>
    </w:p>
    <w:p>
      <w:pPr>
        <w:pStyle w:val="Heading2"/>
      </w:pPr>
      <w:r>
        <w:t>4.3 Gold — Business Data Products</w:t>
      </w:r>
    </w:p>
    <w:p>
      <w:pPr>
        <w:pStyle w:val="ListBullet"/>
        <w:spacing w:after="40"/>
      </w:pPr>
      <w:r>
        <w:t>Daily relative electricity mix by source and zone.</w:t>
      </w:r>
    </w:p>
    <w:p>
      <w:pPr>
        <w:pStyle w:val="ListBullet"/>
        <w:spacing w:after="40"/>
      </w:pPr>
      <w:r>
        <w:t>Daily net imports by source zone → France.</w:t>
      </w:r>
    </w:p>
    <w:p>
      <w:pPr>
        <w:pStyle w:val="ListBullet"/>
        <w:spacing w:after="40"/>
      </w:pPr>
      <w:r>
        <w:t>Daily net exports by France → destination zone.</w:t>
      </w:r>
    </w:p>
    <w:p>
      <w:pPr>
        <w:pStyle w:val="ListBullet"/>
        <w:spacing w:after="40"/>
      </w:pPr>
      <w:r>
        <w:t>Optional derived energy-transition metrics for trend analysis.</w:t>
      </w:r>
    </w:p>
    <w:p>
      <w:pPr>
        <w:pStyle w:val="ListBullet"/>
        <w:spacing w:after="40"/>
      </w:pPr>
      <w:r>
        <w:t>Keep Gold schemas flat and optimized for analytical consumption.</w:t>
      </w:r>
    </w:p>
    <w:p>
      <w:pPr>
        <w:pStyle w:val="Heading1"/>
      </w:pPr>
      <w:r>
        <w:t>5. Data Product and Schema Design</w:t>
      </w:r>
    </w:p>
    <w:p>
      <w:pPr>
        <w:pStyle w:val="Heading2"/>
      </w:pPr>
      <w:r>
        <w:t>5.1 Daily Relative Electricity Mix</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7365D"/>
          </w:tcPr>
          <w:p>
            <w:r/>
            <w:r>
              <w:rPr>
                <w:b/>
                <w:color w:val="FFFFFF"/>
                <w:sz w:val="17"/>
              </w:rPr>
              <w:t>Column</w:t>
            </w:r>
          </w:p>
        </w:tc>
        <w:tc>
          <w:tcPr>
            <w:tcW w:type="dxa" w:w="1440"/>
            <w:vAlign w:val="center"/>
            <w:shd w:fill="17365D"/>
          </w:tcPr>
          <w:p>
            <w:r/>
            <w:r>
              <w:rPr>
                <w:b/>
                <w:color w:val="FFFFFF"/>
                <w:sz w:val="17"/>
              </w:rPr>
              <w:t>Type</w:t>
            </w:r>
          </w:p>
        </w:tc>
        <w:tc>
          <w:tcPr>
            <w:tcW w:type="dxa" w:w="5760"/>
            <w:vAlign w:val="center"/>
            <w:shd w:fill="17365D"/>
          </w:tcPr>
          <w:p>
            <w:r/>
            <w:r>
              <w:rPr>
                <w:b/>
                <w:color w:val="FFFFFF"/>
                <w:sz w:val="17"/>
              </w:rPr>
              <w:t>Purpose</w:t>
            </w:r>
          </w:p>
        </w:tc>
      </w:tr>
      <w:tr>
        <w:tc>
          <w:tcPr>
            <w:tcW w:type="dxa" w:w="2304"/>
            <w:vAlign w:val="center"/>
            <w:shd w:fill="F7F9FC"/>
          </w:tcPr>
          <w:p>
            <w:r/>
            <w:r>
              <w:rPr>
                <w:b w:val="0"/>
                <w:sz w:val="16"/>
              </w:rPr>
              <w:t>date</w:t>
            </w:r>
          </w:p>
        </w:tc>
        <w:tc>
          <w:tcPr>
            <w:tcW w:type="dxa" w:w="1440"/>
            <w:vAlign w:val="center"/>
            <w:shd w:fill="F7F9FC"/>
          </w:tcPr>
          <w:p>
            <w:r/>
            <w:r>
              <w:rPr>
                <w:b w:val="0"/>
                <w:sz w:val="16"/>
              </w:rPr>
              <w:t>date</w:t>
            </w:r>
          </w:p>
        </w:tc>
        <w:tc>
          <w:tcPr>
            <w:tcW w:type="dxa" w:w="5760"/>
            <w:vAlign w:val="center"/>
            <w:shd w:fill="F7F9FC"/>
          </w:tcPr>
          <w:p>
            <w:r/>
            <w:r>
              <w:rPr>
                <w:b w:val="0"/>
                <w:sz w:val="16"/>
              </w:rPr>
              <w:t>Business/reference date</w:t>
            </w:r>
          </w:p>
        </w:tc>
      </w:tr>
      <w:tr>
        <w:tc>
          <w:tcPr>
            <w:tcW w:type="dxa" w:w="2304"/>
            <w:vAlign w:val="center"/>
          </w:tcPr>
          <w:p>
            <w:r/>
            <w:r>
              <w:rPr>
                <w:b w:val="0"/>
                <w:sz w:val="16"/>
              </w:rPr>
              <w:t>zone_code</w:t>
            </w:r>
          </w:p>
        </w:tc>
        <w:tc>
          <w:tcPr>
            <w:tcW w:type="dxa" w:w="1440"/>
            <w:vAlign w:val="center"/>
          </w:tcPr>
          <w:p>
            <w:r/>
            <w:r>
              <w:rPr>
                <w:b w:val="0"/>
                <w:sz w:val="16"/>
              </w:rPr>
              <w:t>string</w:t>
            </w:r>
          </w:p>
        </w:tc>
        <w:tc>
          <w:tcPr>
            <w:tcW w:type="dxa" w:w="5760"/>
            <w:vAlign w:val="center"/>
          </w:tcPr>
          <w:p>
            <w:r/>
            <w:r>
              <w:rPr>
                <w:b w:val="0"/>
                <w:sz w:val="16"/>
              </w:rPr>
              <w:t>Electricity zone identifier</w:t>
            </w:r>
          </w:p>
        </w:tc>
      </w:tr>
      <w:tr>
        <w:tc>
          <w:tcPr>
            <w:tcW w:type="dxa" w:w="2304"/>
            <w:vAlign w:val="center"/>
            <w:shd w:fill="F7F9FC"/>
          </w:tcPr>
          <w:p>
            <w:r/>
            <w:r>
              <w:rPr>
                <w:b w:val="0"/>
                <w:sz w:val="16"/>
              </w:rPr>
              <w:t>zone_name</w:t>
            </w:r>
          </w:p>
        </w:tc>
        <w:tc>
          <w:tcPr>
            <w:tcW w:type="dxa" w:w="1440"/>
            <w:vAlign w:val="center"/>
            <w:shd w:fill="F7F9FC"/>
          </w:tcPr>
          <w:p>
            <w:r/>
            <w:r>
              <w:rPr>
                <w:b w:val="0"/>
                <w:sz w:val="16"/>
              </w:rPr>
              <w:t>string</w:t>
            </w:r>
          </w:p>
        </w:tc>
        <w:tc>
          <w:tcPr>
            <w:tcW w:type="dxa" w:w="5760"/>
            <w:vAlign w:val="center"/>
            <w:shd w:fill="F7F9FC"/>
          </w:tcPr>
          <w:p>
            <w:r/>
            <w:r>
              <w:rPr>
                <w:b w:val="0"/>
                <w:sz w:val="16"/>
              </w:rPr>
              <w:t>Human-readable zone</w:t>
            </w:r>
          </w:p>
        </w:tc>
      </w:tr>
      <w:tr>
        <w:tc>
          <w:tcPr>
            <w:tcW w:type="dxa" w:w="2304"/>
            <w:vAlign w:val="center"/>
          </w:tcPr>
          <w:p>
            <w:r/>
            <w:r>
              <w:rPr>
                <w:b w:val="0"/>
                <w:sz w:val="16"/>
              </w:rPr>
              <w:t>energy_source</w:t>
            </w:r>
          </w:p>
        </w:tc>
        <w:tc>
          <w:tcPr>
            <w:tcW w:type="dxa" w:w="1440"/>
            <w:vAlign w:val="center"/>
          </w:tcPr>
          <w:p>
            <w:r/>
            <w:r>
              <w:rPr>
                <w:b w:val="0"/>
                <w:sz w:val="16"/>
              </w:rPr>
              <w:t>string</w:t>
            </w:r>
          </w:p>
        </w:tc>
        <w:tc>
          <w:tcPr>
            <w:tcW w:type="dxa" w:w="5760"/>
            <w:vAlign w:val="center"/>
          </w:tcPr>
          <w:p>
            <w:r/>
            <w:r>
              <w:rPr>
                <w:b w:val="0"/>
                <w:sz w:val="16"/>
              </w:rPr>
              <w:t>Generation source</w:t>
            </w:r>
          </w:p>
        </w:tc>
      </w:tr>
      <w:tr>
        <w:tc>
          <w:tcPr>
            <w:tcW w:type="dxa" w:w="2304"/>
            <w:vAlign w:val="center"/>
            <w:shd w:fill="F7F9FC"/>
          </w:tcPr>
          <w:p>
            <w:r/>
            <w:r>
              <w:rPr>
                <w:b w:val="0"/>
                <w:sz w:val="16"/>
              </w:rPr>
              <w:t>generation_mwh</w:t>
            </w:r>
          </w:p>
        </w:tc>
        <w:tc>
          <w:tcPr>
            <w:tcW w:type="dxa" w:w="1440"/>
            <w:vAlign w:val="center"/>
            <w:shd w:fill="F7F9FC"/>
          </w:tcPr>
          <w:p>
            <w:r/>
            <w:r>
              <w:rPr>
                <w:b w:val="0"/>
                <w:sz w:val="16"/>
              </w:rPr>
              <w:t>double</w:t>
            </w:r>
          </w:p>
        </w:tc>
        <w:tc>
          <w:tcPr>
            <w:tcW w:type="dxa" w:w="5760"/>
            <w:vAlign w:val="center"/>
            <w:shd w:fill="F7F9FC"/>
          </w:tcPr>
          <w:p>
            <w:r/>
            <w:r>
              <w:rPr>
                <w:b w:val="0"/>
                <w:sz w:val="16"/>
              </w:rPr>
              <w:t>Daily generation</w:t>
            </w:r>
          </w:p>
        </w:tc>
      </w:tr>
      <w:tr>
        <w:tc>
          <w:tcPr>
            <w:tcW w:type="dxa" w:w="2304"/>
            <w:vAlign w:val="center"/>
          </w:tcPr>
          <w:p>
            <w:r/>
            <w:r>
              <w:rPr>
                <w:b w:val="0"/>
                <w:sz w:val="16"/>
              </w:rPr>
              <w:t>generation_percentage</w:t>
            </w:r>
          </w:p>
        </w:tc>
        <w:tc>
          <w:tcPr>
            <w:tcW w:type="dxa" w:w="1440"/>
            <w:vAlign w:val="center"/>
          </w:tcPr>
          <w:p>
            <w:r/>
            <w:r>
              <w:rPr>
                <w:b w:val="0"/>
                <w:sz w:val="16"/>
              </w:rPr>
              <w:t>double</w:t>
            </w:r>
          </w:p>
        </w:tc>
        <w:tc>
          <w:tcPr>
            <w:tcW w:type="dxa" w:w="5760"/>
            <w:vAlign w:val="center"/>
          </w:tcPr>
          <w:p>
            <w:r/>
            <w:r>
              <w:rPr>
                <w:b w:val="0"/>
                <w:sz w:val="16"/>
              </w:rPr>
              <w:t>Relative contribution</w:t>
            </w:r>
          </w:p>
        </w:tc>
      </w:tr>
      <w:tr>
        <w:tc>
          <w:tcPr>
            <w:tcW w:type="dxa" w:w="2304"/>
            <w:vAlign w:val="center"/>
            <w:shd w:fill="F7F9FC"/>
          </w:tcPr>
          <w:p>
            <w:r/>
            <w:r>
              <w:rPr>
                <w:b w:val="0"/>
                <w:sz w:val="16"/>
              </w:rPr>
              <w:t>reference_timestamp</w:t>
            </w:r>
          </w:p>
        </w:tc>
        <w:tc>
          <w:tcPr>
            <w:tcW w:type="dxa" w:w="1440"/>
            <w:vAlign w:val="center"/>
            <w:shd w:fill="F7F9FC"/>
          </w:tcPr>
          <w:p>
            <w:r/>
            <w:r>
              <w:rPr>
                <w:b w:val="0"/>
                <w:sz w:val="16"/>
              </w:rPr>
              <w:t>timestamp</w:t>
            </w:r>
          </w:p>
        </w:tc>
        <w:tc>
          <w:tcPr>
            <w:tcW w:type="dxa" w:w="5760"/>
            <w:vAlign w:val="center"/>
            <w:shd w:fill="F7F9FC"/>
          </w:tcPr>
          <w:p>
            <w:r/>
            <w:r>
              <w:rPr>
                <w:b w:val="0"/>
                <w:sz w:val="16"/>
              </w:rPr>
              <w:t>Source reference timestamp</w:t>
            </w:r>
          </w:p>
        </w:tc>
      </w:tr>
      <w:tr>
        <w:tc>
          <w:tcPr>
            <w:tcW w:type="dxa" w:w="2304"/>
            <w:vAlign w:val="center"/>
          </w:tcPr>
          <w:p>
            <w:r/>
            <w:r>
              <w:rPr>
                <w:b w:val="0"/>
                <w:sz w:val="16"/>
              </w:rPr>
              <w:t>data_version</w:t>
            </w:r>
          </w:p>
        </w:tc>
        <w:tc>
          <w:tcPr>
            <w:tcW w:type="dxa" w:w="1440"/>
            <w:vAlign w:val="center"/>
          </w:tcPr>
          <w:p>
            <w:r/>
            <w:r>
              <w:rPr>
                <w:b w:val="0"/>
                <w:sz w:val="16"/>
              </w:rPr>
              <w:t>string</w:t>
            </w:r>
          </w:p>
        </w:tc>
        <w:tc>
          <w:tcPr>
            <w:tcW w:type="dxa" w:w="5760"/>
            <w:vAlign w:val="center"/>
          </w:tcPr>
          <w:p>
            <w:r/>
            <w:r>
              <w:rPr>
                <w:b w:val="0"/>
                <w:sz w:val="16"/>
              </w:rPr>
              <w:t>Dataset contract version</w:t>
            </w:r>
          </w:p>
        </w:tc>
      </w:tr>
      <w:tr>
        <w:tc>
          <w:tcPr>
            <w:tcW w:type="dxa" w:w="2304"/>
            <w:vAlign w:val="center"/>
            <w:shd w:fill="F7F9FC"/>
          </w:tcPr>
          <w:p>
            <w:r/>
            <w:r>
              <w:rPr>
                <w:b w:val="0"/>
                <w:sz w:val="16"/>
              </w:rPr>
              <w:t>pipeline_run_id</w:t>
            </w:r>
          </w:p>
        </w:tc>
        <w:tc>
          <w:tcPr>
            <w:tcW w:type="dxa" w:w="1440"/>
            <w:vAlign w:val="center"/>
            <w:shd w:fill="F7F9FC"/>
          </w:tcPr>
          <w:p>
            <w:r/>
            <w:r>
              <w:rPr>
                <w:b w:val="0"/>
                <w:sz w:val="16"/>
              </w:rPr>
              <w:t>string</w:t>
            </w:r>
          </w:p>
        </w:tc>
        <w:tc>
          <w:tcPr>
            <w:tcW w:type="dxa" w:w="5760"/>
            <w:vAlign w:val="center"/>
            <w:shd w:fill="F7F9FC"/>
          </w:tcPr>
          <w:p>
            <w:r/>
            <w:r>
              <w:rPr>
                <w:b w:val="0"/>
                <w:sz w:val="16"/>
              </w:rPr>
              <w:t>Lineage/audit identifier</w:t>
            </w:r>
          </w:p>
        </w:tc>
      </w:tr>
    </w:tbl>
    <w:p/>
    <w:p>
      <w:pPr>
        <w:pStyle w:val="Heading2"/>
      </w:pPr>
      <w:r>
        <w:t>5.2 Daily Net Imports / Exports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7365D"/>
          </w:tcPr>
          <w:p>
            <w:r/>
            <w:r>
              <w:rPr>
                <w:b/>
                <w:color w:val="FFFFFF"/>
                <w:sz w:val="17"/>
              </w:rPr>
              <w:t>Column</w:t>
            </w:r>
          </w:p>
        </w:tc>
        <w:tc>
          <w:tcPr>
            <w:tcW w:type="dxa" w:w="1728"/>
            <w:vAlign w:val="center"/>
            <w:shd w:fill="17365D"/>
          </w:tcPr>
          <w:p>
            <w:r/>
            <w:r>
              <w:rPr>
                <w:b/>
                <w:color w:val="FFFFFF"/>
                <w:sz w:val="17"/>
              </w:rPr>
              <w:t>Type</w:t>
            </w:r>
          </w:p>
        </w:tc>
        <w:tc>
          <w:tcPr>
            <w:tcW w:type="dxa" w:w="4608"/>
            <w:vAlign w:val="center"/>
            <w:shd w:fill="17365D"/>
          </w:tcPr>
          <w:p>
            <w:r/>
            <w:r>
              <w:rPr>
                <w:b/>
                <w:color w:val="FFFFFF"/>
                <w:sz w:val="17"/>
              </w:rPr>
              <w:t>Purpose</w:t>
            </w:r>
          </w:p>
        </w:tc>
      </w:tr>
      <w:tr>
        <w:tc>
          <w:tcPr>
            <w:tcW w:type="dxa" w:w="3168"/>
            <w:vAlign w:val="center"/>
            <w:shd w:fill="F7F9FC"/>
          </w:tcPr>
          <w:p>
            <w:r/>
            <w:r>
              <w:rPr>
                <w:b w:val="0"/>
                <w:sz w:val="16"/>
              </w:rPr>
              <w:t>date</w:t>
            </w:r>
          </w:p>
        </w:tc>
        <w:tc>
          <w:tcPr>
            <w:tcW w:type="dxa" w:w="1728"/>
            <w:vAlign w:val="center"/>
            <w:shd w:fill="F7F9FC"/>
          </w:tcPr>
          <w:p>
            <w:r/>
            <w:r>
              <w:rPr>
                <w:b w:val="0"/>
                <w:sz w:val="16"/>
              </w:rPr>
              <w:t>date</w:t>
            </w:r>
          </w:p>
        </w:tc>
        <w:tc>
          <w:tcPr>
            <w:tcW w:type="dxa" w:w="4608"/>
            <w:vAlign w:val="center"/>
            <w:shd w:fill="F7F9FC"/>
          </w:tcPr>
          <w:p>
            <w:r/>
            <w:r>
              <w:rPr>
                <w:b w:val="0"/>
                <w:sz w:val="16"/>
              </w:rPr>
              <w:t>Business/reference date</w:t>
            </w:r>
          </w:p>
        </w:tc>
      </w:tr>
      <w:tr>
        <w:tc>
          <w:tcPr>
            <w:tcW w:type="dxa" w:w="3168"/>
            <w:vAlign w:val="center"/>
          </w:tcPr>
          <w:p>
            <w:r/>
            <w:r>
              <w:rPr>
                <w:b w:val="0"/>
                <w:sz w:val="16"/>
              </w:rPr>
              <w:t>source_zone</w:t>
            </w:r>
          </w:p>
        </w:tc>
        <w:tc>
          <w:tcPr>
            <w:tcW w:type="dxa" w:w="1728"/>
            <w:vAlign w:val="center"/>
          </w:tcPr>
          <w:p>
            <w:r/>
            <w:r>
              <w:rPr>
                <w:b w:val="0"/>
                <w:sz w:val="16"/>
              </w:rPr>
              <w:t>string</w:t>
            </w:r>
          </w:p>
        </w:tc>
        <w:tc>
          <w:tcPr>
            <w:tcW w:type="dxa" w:w="4608"/>
            <w:vAlign w:val="center"/>
          </w:tcPr>
          <w:p>
            <w:r/>
            <w:r>
              <w:rPr>
                <w:b w:val="0"/>
                <w:sz w:val="16"/>
              </w:rPr>
              <w:t>Source zone</w:t>
            </w:r>
          </w:p>
        </w:tc>
      </w:tr>
      <w:tr>
        <w:tc>
          <w:tcPr>
            <w:tcW w:type="dxa" w:w="3168"/>
            <w:vAlign w:val="center"/>
            <w:shd w:fill="F7F9FC"/>
          </w:tcPr>
          <w:p>
            <w:r/>
            <w:r>
              <w:rPr>
                <w:b w:val="0"/>
                <w:sz w:val="16"/>
              </w:rPr>
              <w:t>source_zone_name</w:t>
            </w:r>
          </w:p>
        </w:tc>
        <w:tc>
          <w:tcPr>
            <w:tcW w:type="dxa" w:w="1728"/>
            <w:vAlign w:val="center"/>
            <w:shd w:fill="F7F9FC"/>
          </w:tcPr>
          <w:p>
            <w:r/>
            <w:r>
              <w:rPr>
                <w:b w:val="0"/>
                <w:sz w:val="16"/>
              </w:rPr>
              <w:t>string</w:t>
            </w:r>
          </w:p>
        </w:tc>
        <w:tc>
          <w:tcPr>
            <w:tcW w:type="dxa" w:w="4608"/>
            <w:vAlign w:val="center"/>
            <w:shd w:fill="F7F9FC"/>
          </w:tcPr>
          <w:p>
            <w:r/>
            <w:r>
              <w:rPr>
                <w:b w:val="0"/>
                <w:sz w:val="16"/>
              </w:rPr>
              <w:t>Source zone name</w:t>
            </w:r>
          </w:p>
        </w:tc>
      </w:tr>
      <w:tr>
        <w:tc>
          <w:tcPr>
            <w:tcW w:type="dxa" w:w="3168"/>
            <w:vAlign w:val="center"/>
          </w:tcPr>
          <w:p>
            <w:r/>
            <w:r>
              <w:rPr>
                <w:b w:val="0"/>
                <w:sz w:val="16"/>
              </w:rPr>
              <w:t>target_zone</w:t>
            </w:r>
          </w:p>
        </w:tc>
        <w:tc>
          <w:tcPr>
            <w:tcW w:type="dxa" w:w="1728"/>
            <w:vAlign w:val="center"/>
          </w:tcPr>
          <w:p>
            <w:r/>
            <w:r>
              <w:rPr>
                <w:b w:val="0"/>
                <w:sz w:val="16"/>
              </w:rPr>
              <w:t>string</w:t>
            </w:r>
          </w:p>
        </w:tc>
        <w:tc>
          <w:tcPr>
            <w:tcW w:type="dxa" w:w="4608"/>
            <w:vAlign w:val="center"/>
          </w:tcPr>
          <w:p>
            <w:r/>
            <w:r>
              <w:rPr>
                <w:b w:val="0"/>
                <w:sz w:val="16"/>
              </w:rPr>
              <w:t>Target zone</w:t>
            </w:r>
          </w:p>
        </w:tc>
      </w:tr>
      <w:tr>
        <w:tc>
          <w:tcPr>
            <w:tcW w:type="dxa" w:w="3168"/>
            <w:vAlign w:val="center"/>
            <w:shd w:fill="F7F9FC"/>
          </w:tcPr>
          <w:p>
            <w:r/>
            <w:r>
              <w:rPr>
                <w:b w:val="0"/>
                <w:sz w:val="16"/>
              </w:rPr>
              <w:t>target_zone_name</w:t>
            </w:r>
          </w:p>
        </w:tc>
        <w:tc>
          <w:tcPr>
            <w:tcW w:type="dxa" w:w="1728"/>
            <w:vAlign w:val="center"/>
            <w:shd w:fill="F7F9FC"/>
          </w:tcPr>
          <w:p>
            <w:r/>
            <w:r>
              <w:rPr>
                <w:b w:val="0"/>
                <w:sz w:val="16"/>
              </w:rPr>
              <w:t>string</w:t>
            </w:r>
          </w:p>
        </w:tc>
        <w:tc>
          <w:tcPr>
            <w:tcW w:type="dxa" w:w="4608"/>
            <w:vAlign w:val="center"/>
            <w:shd w:fill="F7F9FC"/>
          </w:tcPr>
          <w:p>
            <w:r/>
            <w:r>
              <w:rPr>
                <w:b w:val="0"/>
                <w:sz w:val="16"/>
              </w:rPr>
              <w:t>Target zone name</w:t>
            </w:r>
          </w:p>
        </w:tc>
      </w:tr>
      <w:tr>
        <w:tc>
          <w:tcPr>
            <w:tcW w:type="dxa" w:w="3168"/>
            <w:vAlign w:val="center"/>
          </w:tcPr>
          <w:p>
            <w:r/>
            <w:r>
              <w:rPr>
                <w:b w:val="0"/>
                <w:sz w:val="16"/>
              </w:rPr>
              <w:t>gross_import_mwh</w:t>
            </w:r>
          </w:p>
        </w:tc>
        <w:tc>
          <w:tcPr>
            <w:tcW w:type="dxa" w:w="1728"/>
            <w:vAlign w:val="center"/>
          </w:tcPr>
          <w:p>
            <w:r/>
            <w:r>
              <w:rPr>
                <w:b w:val="0"/>
                <w:sz w:val="16"/>
              </w:rPr>
              <w:t>double</w:t>
            </w:r>
          </w:p>
        </w:tc>
        <w:tc>
          <w:tcPr>
            <w:tcW w:type="dxa" w:w="4608"/>
            <w:vAlign w:val="center"/>
          </w:tcPr>
          <w:p>
            <w:r/>
            <w:r>
              <w:rPr>
                <w:b w:val="0"/>
                <w:sz w:val="16"/>
              </w:rPr>
              <w:t>Gross import quantity</w:t>
            </w:r>
          </w:p>
        </w:tc>
      </w:tr>
      <w:tr>
        <w:tc>
          <w:tcPr>
            <w:tcW w:type="dxa" w:w="3168"/>
            <w:vAlign w:val="center"/>
            <w:shd w:fill="F7F9FC"/>
          </w:tcPr>
          <w:p>
            <w:r/>
            <w:r>
              <w:rPr>
                <w:b w:val="0"/>
                <w:sz w:val="16"/>
              </w:rPr>
              <w:t>gross_export_mwh</w:t>
            </w:r>
          </w:p>
        </w:tc>
        <w:tc>
          <w:tcPr>
            <w:tcW w:type="dxa" w:w="1728"/>
            <w:vAlign w:val="center"/>
            <w:shd w:fill="F7F9FC"/>
          </w:tcPr>
          <w:p>
            <w:r/>
            <w:r>
              <w:rPr>
                <w:b w:val="0"/>
                <w:sz w:val="16"/>
              </w:rPr>
              <w:t>double</w:t>
            </w:r>
          </w:p>
        </w:tc>
        <w:tc>
          <w:tcPr>
            <w:tcW w:type="dxa" w:w="4608"/>
            <w:vAlign w:val="center"/>
            <w:shd w:fill="F7F9FC"/>
          </w:tcPr>
          <w:p>
            <w:r/>
            <w:r>
              <w:rPr>
                <w:b w:val="0"/>
                <w:sz w:val="16"/>
              </w:rPr>
              <w:t>Gross export quantity</w:t>
            </w:r>
          </w:p>
        </w:tc>
      </w:tr>
      <w:tr>
        <w:tc>
          <w:tcPr>
            <w:tcW w:type="dxa" w:w="3168"/>
            <w:vAlign w:val="center"/>
          </w:tcPr>
          <w:p>
            <w:r/>
            <w:r>
              <w:rPr>
                <w:b w:val="0"/>
                <w:sz w:val="16"/>
              </w:rPr>
              <w:t>net_import_mwh / net_export_mwh</w:t>
            </w:r>
          </w:p>
        </w:tc>
        <w:tc>
          <w:tcPr>
            <w:tcW w:type="dxa" w:w="1728"/>
            <w:vAlign w:val="center"/>
          </w:tcPr>
          <w:p>
            <w:r/>
            <w:r>
              <w:rPr>
                <w:b w:val="0"/>
                <w:sz w:val="16"/>
              </w:rPr>
              <w:t>double</w:t>
            </w:r>
          </w:p>
        </w:tc>
        <w:tc>
          <w:tcPr>
            <w:tcW w:type="dxa" w:w="4608"/>
            <w:vAlign w:val="center"/>
          </w:tcPr>
          <w:p>
            <w:r/>
            <w:r>
              <w:rPr>
                <w:b w:val="0"/>
                <w:sz w:val="16"/>
              </w:rPr>
              <w:t>Derived net quantity</w:t>
            </w:r>
          </w:p>
        </w:tc>
      </w:tr>
      <w:tr>
        <w:tc>
          <w:tcPr>
            <w:tcW w:type="dxa" w:w="3168"/>
            <w:vAlign w:val="center"/>
            <w:shd w:fill="F7F9FC"/>
          </w:tcPr>
          <w:p>
            <w:r/>
            <w:r>
              <w:rPr>
                <w:b w:val="0"/>
                <w:sz w:val="16"/>
              </w:rPr>
              <w:t>reference_timestamp</w:t>
            </w:r>
          </w:p>
        </w:tc>
        <w:tc>
          <w:tcPr>
            <w:tcW w:type="dxa" w:w="1728"/>
            <w:vAlign w:val="center"/>
            <w:shd w:fill="F7F9FC"/>
          </w:tcPr>
          <w:p>
            <w:r/>
            <w:r>
              <w:rPr>
                <w:b w:val="0"/>
                <w:sz w:val="16"/>
              </w:rPr>
              <w:t>timestamp</w:t>
            </w:r>
          </w:p>
        </w:tc>
        <w:tc>
          <w:tcPr>
            <w:tcW w:type="dxa" w:w="4608"/>
            <w:vAlign w:val="center"/>
            <w:shd w:fill="F7F9FC"/>
          </w:tcPr>
          <w:p>
            <w:r/>
            <w:r>
              <w:rPr>
                <w:b w:val="0"/>
                <w:sz w:val="16"/>
              </w:rPr>
              <w:t>Source reference timestamp</w:t>
            </w:r>
          </w:p>
        </w:tc>
      </w:tr>
    </w:tbl>
    <w:p/>
    <w:p>
      <w:pPr>
        <w:pStyle w:val="Heading1"/>
      </w:pPr>
      <w:r>
        <w:t>6. Reusable Enterprise PySpark Framework</w:t>
      </w:r>
    </w:p>
    <w:p>
      <w:r>
        <w:t>The ETL implementation is structured as a reusable framework rather than a one-off script. Dataset behavior is controlled through versioned configuration and metadata, while reusable engines handle ingestion, schemas, transformations, DQ, security, optimization, audit and observability.</w:t>
      </w:r>
    </w:p>
    <w:p>
      <w:pPr>
        <w:ind w:left="288" w:right="288"/>
        <w:shd w:fill="F3F5F7"/>
      </w:pPr>
      <w:r>
        <w:rPr>
          <w:rFonts w:ascii="Consolas" w:hAnsi="Consolas"/>
          <w:color w:val="222222"/>
          <w:sz w:val="16"/>
        </w:rPr>
        <w:t>src/electricity_maps/</w:t>
        <w:br/>
        <w:t>├── ingestion/</w:t>
        <w:br/>
        <w:t>├── bronze/</w:t>
        <w:br/>
        <w:t>├── silver/</w:t>
        <w:br/>
        <w:t>├── gold/</w:t>
        <w:br/>
        <w:t>├── dq/</w:t>
        <w:br/>
        <w:t>├── security/</w:t>
        <w:br/>
        <w:t>├── optimization/</w:t>
        <w:br/>
        <w:t>├── contracts/</w:t>
        <w:br/>
        <w:t>├── audit/</w:t>
        <w:br/>
        <w:t>├── observability/</w:t>
        <w:br/>
        <w:t>└── common/</w:t>
      </w:r>
    </w:p>
    <w:p>
      <w:pPr>
        <w:pStyle w:val="Heading2"/>
      </w:pPr>
      <w:r>
        <w:t>6.1 Metadata-driven configuration</w:t>
      </w:r>
    </w:p>
    <w:p>
      <w:pPr>
        <w:ind w:left="288" w:right="288"/>
        <w:shd w:fill="F3F5F7"/>
      </w:pPr>
      <w:r>
        <w:rPr>
          <w:rFonts w:ascii="Consolas" w:hAnsi="Consolas"/>
          <w:color w:val="222222"/>
          <w:sz w:val="16"/>
        </w:rPr>
        <w:t>dataset:</w:t>
        <w:br/>
        <w:t xml:space="preserve">  name: electricity_flows</w:t>
        <w:br/>
        <w:t xml:space="preserve">  domain: energy</w:t>
        <w:br/>
        <w:t xml:space="preserve">  source: electricity_maps</w:t>
        <w:br/>
        <w:br/>
        <w:t>ingestion:</w:t>
        <w:br/>
        <w:t xml:space="preserve">  type: rest</w:t>
        <w:br/>
        <w:t xml:space="preserve">  method: GET</w:t>
        <w:br/>
        <w:t xml:space="preserve">  incremental: true</w:t>
        <w:br/>
        <w:br/>
        <w:t>bronze:</w:t>
        <w:br/>
        <w:t xml:space="preserve">  format: json</w:t>
        <w:br/>
        <w:t xml:space="preserve">  partition_by: [year, month, day]</w:t>
        <w:br/>
        <w:br/>
        <w:t>silver:</w:t>
        <w:br/>
        <w:t xml:space="preserve">  format: delta</w:t>
        <w:br/>
        <w:t xml:space="preserve">  parquet: true</w:t>
        <w:br/>
        <w:t xml:space="preserve">  partition_by: [year, month, day]</w:t>
        <w:br/>
        <w:br/>
        <w:t>dq:</w:t>
        <w:br/>
        <w:t xml:space="preserve">  enabled: true</w:t>
        <w:br/>
        <w:t xml:space="preserve">  profile: energy</w:t>
        <w:br/>
        <w:br/>
        <w:t>security:</w:t>
        <w:br/>
        <w:t xml:space="preserve">  classification: INTERNAL</w:t>
        <w:br/>
        <w:t xml:space="preserve">  pii_scan: true</w:t>
        <w:br/>
        <w:t xml:space="preserve">  masking: true</w:t>
      </w:r>
    </w:p>
    <w:p>
      <w:pPr>
        <w:pStyle w:val="Heading1"/>
      </w:pPr>
      <w:r>
        <w:t>7. Advanced Data Quality Framework</w:t>
      </w:r>
    </w:p>
    <w:p>
      <w:r>
        <w:t>The DQ framework combines generic data-quality controls with electricity-domain rules. Every rule is versioned, measurable, severity-based and auditable.</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
              <w:rPr>
                <w:b/>
                <w:color w:val="FFFFFF"/>
                <w:sz w:val="17"/>
              </w:rPr>
              <w:t>Category</w:t>
            </w:r>
          </w:p>
        </w:tc>
        <w:tc>
          <w:tcPr>
            <w:tcW w:type="dxa" w:w="7344"/>
            <w:vAlign w:val="center"/>
            <w:shd w:fill="17365D"/>
          </w:tcPr>
          <w:p>
            <w:r/>
            <w:r>
              <w:rPr>
                <w:b/>
                <w:color w:val="FFFFFF"/>
                <w:sz w:val="17"/>
              </w:rPr>
              <w:t>Examples</w:t>
            </w:r>
          </w:p>
        </w:tc>
      </w:tr>
      <w:tr>
        <w:tc>
          <w:tcPr>
            <w:tcW w:type="dxa" w:w="2160"/>
            <w:vAlign w:val="center"/>
            <w:shd w:fill="F7F9FC"/>
          </w:tcPr>
          <w:p>
            <w:r/>
            <w:r>
              <w:rPr>
                <w:b w:val="0"/>
                <w:sz w:val="16"/>
              </w:rPr>
              <w:t>Structural</w:t>
            </w:r>
          </w:p>
        </w:tc>
        <w:tc>
          <w:tcPr>
            <w:tcW w:type="dxa" w:w="7344"/>
            <w:vAlign w:val="center"/>
            <w:shd w:fill="F7F9FC"/>
          </w:tcPr>
          <w:p>
            <w:r/>
            <w:r>
              <w:rPr>
                <w:b w:val="0"/>
                <w:sz w:val="16"/>
              </w:rPr>
              <w:t>Schema, datatype, required columns, unexpected columns</w:t>
            </w:r>
          </w:p>
        </w:tc>
      </w:tr>
      <w:tr>
        <w:tc>
          <w:tcPr>
            <w:tcW w:type="dxa" w:w="2160"/>
            <w:vAlign w:val="center"/>
          </w:tcPr>
          <w:p>
            <w:r/>
            <w:r>
              <w:rPr>
                <w:b w:val="0"/>
                <w:sz w:val="16"/>
              </w:rPr>
              <w:t>Completeness</w:t>
            </w:r>
          </w:p>
        </w:tc>
        <w:tc>
          <w:tcPr>
            <w:tcW w:type="dxa" w:w="7344"/>
            <w:vAlign w:val="center"/>
          </w:tcPr>
          <w:p>
            <w:r/>
            <w:r>
              <w:rPr>
                <w:b w:val="0"/>
                <w:sz w:val="16"/>
              </w:rPr>
              <w:t>Null rate, hourly record coverage, missing timestamps, missing zones</w:t>
            </w:r>
          </w:p>
        </w:tc>
      </w:tr>
      <w:tr>
        <w:tc>
          <w:tcPr>
            <w:tcW w:type="dxa" w:w="2160"/>
            <w:vAlign w:val="center"/>
            <w:shd w:fill="F7F9FC"/>
          </w:tcPr>
          <w:p>
            <w:r/>
            <w:r>
              <w:rPr>
                <w:b w:val="0"/>
                <w:sz w:val="16"/>
              </w:rPr>
              <w:t>Uniqueness</w:t>
            </w:r>
          </w:p>
        </w:tc>
        <w:tc>
          <w:tcPr>
            <w:tcW w:type="dxa" w:w="7344"/>
            <w:vAlign w:val="center"/>
            <w:shd w:fill="F7F9FC"/>
          </w:tcPr>
          <w:p>
            <w:r/>
            <w:r>
              <w:rPr>
                <w:b w:val="0"/>
                <w:sz w:val="16"/>
              </w:rPr>
              <w:t>Business-key duplicates, repeated source records</w:t>
            </w:r>
          </w:p>
        </w:tc>
      </w:tr>
      <w:tr>
        <w:tc>
          <w:tcPr>
            <w:tcW w:type="dxa" w:w="2160"/>
            <w:vAlign w:val="center"/>
          </w:tcPr>
          <w:p>
            <w:r/>
            <w:r>
              <w:rPr>
                <w:b w:val="0"/>
                <w:sz w:val="16"/>
              </w:rPr>
              <w:t>Validity</w:t>
            </w:r>
          </w:p>
        </w:tc>
        <w:tc>
          <w:tcPr>
            <w:tcW w:type="dxa" w:w="7344"/>
            <w:vAlign w:val="center"/>
          </w:tcPr>
          <w:p>
            <w:r/>
            <w:r>
              <w:rPr>
                <w:b w:val="0"/>
                <w:sz w:val="16"/>
              </w:rPr>
              <w:t>Timestamp validity, allowed zones, MWh ≥ 0, percentage 0–100</w:t>
            </w:r>
          </w:p>
        </w:tc>
      </w:tr>
      <w:tr>
        <w:tc>
          <w:tcPr>
            <w:tcW w:type="dxa" w:w="2160"/>
            <w:vAlign w:val="center"/>
            <w:shd w:fill="F7F9FC"/>
          </w:tcPr>
          <w:p>
            <w:r/>
            <w:r>
              <w:rPr>
                <w:b w:val="0"/>
                <w:sz w:val="16"/>
              </w:rPr>
              <w:t>Consistency</w:t>
            </w:r>
          </w:p>
        </w:tc>
        <w:tc>
          <w:tcPr>
            <w:tcW w:type="dxa" w:w="7344"/>
            <w:vAlign w:val="center"/>
            <w:shd w:fill="F7F9FC"/>
          </w:tcPr>
          <w:p>
            <w:r/>
            <w:r>
              <w:rPr>
                <w:b w:val="0"/>
                <w:sz w:val="16"/>
              </w:rPr>
              <w:t>Cross-field consistency, source/target zone relationships</w:t>
            </w:r>
          </w:p>
        </w:tc>
      </w:tr>
      <w:tr>
        <w:tc>
          <w:tcPr>
            <w:tcW w:type="dxa" w:w="2160"/>
            <w:vAlign w:val="center"/>
          </w:tcPr>
          <w:p>
            <w:r/>
            <w:r>
              <w:rPr>
                <w:b w:val="0"/>
                <w:sz w:val="16"/>
              </w:rPr>
              <w:t>Freshness</w:t>
            </w:r>
          </w:p>
        </w:tc>
        <w:tc>
          <w:tcPr>
            <w:tcW w:type="dxa" w:w="7344"/>
            <w:vAlign w:val="center"/>
          </w:tcPr>
          <w:p>
            <w:r/>
            <w:r>
              <w:rPr>
                <w:b w:val="0"/>
                <w:sz w:val="16"/>
              </w:rPr>
              <w:t>Maximum data latency/SLA</w:t>
            </w:r>
          </w:p>
        </w:tc>
      </w:tr>
      <w:tr>
        <w:tc>
          <w:tcPr>
            <w:tcW w:type="dxa" w:w="2160"/>
            <w:vAlign w:val="center"/>
            <w:shd w:fill="F7F9FC"/>
          </w:tcPr>
          <w:p>
            <w:r/>
            <w:r>
              <w:rPr>
                <w:b w:val="0"/>
                <w:sz w:val="16"/>
              </w:rPr>
              <w:t>Statistical</w:t>
            </w:r>
          </w:p>
        </w:tc>
        <w:tc>
          <w:tcPr>
            <w:tcW w:type="dxa" w:w="7344"/>
            <w:vAlign w:val="center"/>
            <w:shd w:fill="F7F9FC"/>
          </w:tcPr>
          <w:p>
            <w:r/>
            <w:r>
              <w:rPr>
                <w:b w:val="0"/>
                <w:sz w:val="16"/>
              </w:rPr>
              <w:t>Distribution changes, outliers, anomaly detection</w:t>
            </w:r>
          </w:p>
        </w:tc>
      </w:tr>
      <w:tr>
        <w:tc>
          <w:tcPr>
            <w:tcW w:type="dxa" w:w="2160"/>
            <w:vAlign w:val="center"/>
          </w:tcPr>
          <w:p>
            <w:r/>
            <w:r>
              <w:rPr>
                <w:b w:val="0"/>
                <w:sz w:val="16"/>
              </w:rPr>
              <w:t>Domain</w:t>
            </w:r>
          </w:p>
        </w:tc>
        <w:tc>
          <w:tcPr>
            <w:tcW w:type="dxa" w:w="7344"/>
            <w:vAlign w:val="center"/>
          </w:tcPr>
          <w:p>
            <w:r/>
            <w:r>
              <w:rPr>
                <w:b w:val="0"/>
                <w:sz w:val="16"/>
              </w:rPr>
              <w:t>Mix percentages reconcile, net-flow arithmetic, temporal continuity</w:t>
            </w:r>
          </w:p>
        </w:tc>
      </w:tr>
      <w:tr>
        <w:tc>
          <w:tcPr>
            <w:tcW w:type="dxa" w:w="2160"/>
            <w:vAlign w:val="center"/>
            <w:shd w:fill="F7F9FC"/>
          </w:tcPr>
          <w:p>
            <w:r/>
            <w:r>
              <w:rPr>
                <w:b w:val="0"/>
                <w:sz w:val="16"/>
              </w:rPr>
              <w:t>Referential</w:t>
            </w:r>
          </w:p>
        </w:tc>
        <w:tc>
          <w:tcPr>
            <w:tcW w:type="dxa" w:w="7344"/>
            <w:vAlign w:val="center"/>
            <w:shd w:fill="F7F9FC"/>
          </w:tcPr>
          <w:p>
            <w:r/>
            <w:r>
              <w:rPr>
                <w:b w:val="0"/>
                <w:sz w:val="16"/>
              </w:rPr>
              <w:t>Zone and energy-source reference integrity</w:t>
            </w:r>
          </w:p>
        </w:tc>
      </w:tr>
    </w:tbl>
    <w:p/>
    <w:p>
      <w:pPr>
        <w:pStyle w:val="Heading2"/>
      </w:pPr>
      <w:r>
        <w:t>7.1 Severity model</w:t>
      </w:r>
    </w:p>
    <w:p>
      <w:pPr>
        <w:ind w:left="288" w:right="288"/>
        <w:shd w:fill="F3F5F7"/>
      </w:pPr>
      <w:r>
        <w:rPr>
          <w:rFonts w:ascii="Consolas" w:hAnsi="Consolas"/>
          <w:color w:val="222222"/>
          <w:sz w:val="16"/>
        </w:rPr>
        <w:t>CRITICAL → stop pipeline</w:t>
        <w:br/>
        <w:t>ERROR    → fail/quarantine affected dataset</w:t>
        <w:br/>
        <w:t>WARNING  → continue + alert</w:t>
        <w:br/>
        <w:t>INFO     → audit only</w:t>
      </w:r>
    </w:p>
    <w:p>
      <w:pPr>
        <w:pStyle w:val="Heading2"/>
      </w:pPr>
      <w:r>
        <w:t>7.2 Energy-domain controls</w:t>
      </w:r>
    </w:p>
    <w:p>
      <w:pPr>
        <w:pStyle w:val="ListBullet"/>
        <w:spacing w:after="40"/>
      </w:pPr>
      <w:r>
        <w:t>Validate that generation values are non-negative unless the source semantics explicitly permit otherwise.</w:t>
      </w:r>
    </w:p>
    <w:p>
      <w:pPr>
        <w:pStyle w:val="ListBullet"/>
        <w:spacing w:after="40"/>
      </w:pPr>
      <w:r>
        <w:t>Validate source percentages within expected bounds and reconcile daily totals within a configurable tolerance.</w:t>
      </w:r>
    </w:p>
    <w:p>
      <w:pPr>
        <w:pStyle w:val="ListBullet"/>
        <w:spacing w:after="40"/>
      </w:pPr>
      <w:r>
        <w:t>Validate source and destination zones against the approved zone reference.</w:t>
      </w:r>
    </w:p>
    <w:p>
      <w:pPr>
        <w:pStyle w:val="ListBullet"/>
        <w:spacing w:after="40"/>
      </w:pPr>
      <w:r>
        <w:t>Detect missing hourly observations and distinguish incomplete source data from pipeline failure.</w:t>
      </w:r>
    </w:p>
    <w:p>
      <w:pPr>
        <w:pStyle w:val="ListBullet"/>
        <w:spacing w:after="40"/>
      </w:pPr>
      <w:r>
        <w:t>Validate net import/export arithmetic against the defined source semantics.</w:t>
      </w:r>
    </w:p>
    <w:p>
      <w:pPr>
        <w:pStyle w:val="ListBullet"/>
        <w:spacing w:after="40"/>
      </w:pPr>
      <w:r>
        <w:t>Monitor sudden distribution changes using configurable statistical thresholds.</w:t>
      </w:r>
    </w:p>
    <w:p>
      <w:pPr>
        <w:pStyle w:val="ListBullet"/>
        <w:spacing w:after="40"/>
      </w:pPr>
      <w:r>
        <w:t>Maintain quarantine outputs for failed records without silently dropping them.</w:t>
      </w:r>
    </w:p>
    <w:p>
      <w:pPr>
        <w:pStyle w:val="Heading1"/>
      </w:pPr>
      <w:r>
        <w:t>8. Advanced PySpark Performance Engineering</w:t>
      </w:r>
    </w:p>
    <w:p>
      <w:pPr>
        <w:jc w:val="center"/>
      </w:pPr>
      <w:r>
        <w:rPr>
          <w:b/>
        </w:rPr>
        <w:t>Figure 3 — Performance Optimization Strategy</w:t>
      </w:r>
    </w:p>
    <w:p>
      <w:pPr>
        <w:jc w:val="center"/>
      </w:pPr>
      <w:r>
        <w:drawing>
          <wp:inline xmlns:a="http://schemas.openxmlformats.org/drawingml/2006/main" xmlns:pic="http://schemas.openxmlformats.org/drawingml/2006/picture">
            <wp:extent cx="6217920" cy="791833"/>
            <wp:docPr id="3" name="Picture 3"/>
            <wp:cNvGraphicFramePr>
              <a:graphicFrameLocks noChangeAspect="1"/>
            </wp:cNvGraphicFramePr>
            <a:graphic>
              <a:graphicData uri="http://schemas.openxmlformats.org/drawingml/2006/picture">
                <pic:pic>
                  <pic:nvPicPr>
                    <pic:cNvPr id="0" name="04_performance.png"/>
                    <pic:cNvPicPr/>
                  </pic:nvPicPr>
                  <pic:blipFill>
                    <a:blip r:embed="rId13"/>
                    <a:stretch>
                      <a:fillRect/>
                    </a:stretch>
                  </pic:blipFill>
                  <pic:spPr>
                    <a:xfrm>
                      <a:off x="0" y="0"/>
                      <a:ext cx="6217920" cy="791833"/>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b/>
                <w:color w:val="FFFFFF"/>
                <w:sz w:val="17"/>
              </w:rPr>
              <w:t>Optimization</w:t>
            </w:r>
          </w:p>
        </w:tc>
        <w:tc>
          <w:tcPr>
            <w:tcW w:type="dxa" w:w="6912"/>
            <w:vAlign w:val="center"/>
            <w:shd w:fill="17365D"/>
          </w:tcPr>
          <w:p>
            <w:r/>
            <w:r>
              <w:rPr>
                <w:b/>
                <w:color w:val="FFFFFF"/>
                <w:sz w:val="17"/>
              </w:rPr>
              <w:t>Implementation principle</w:t>
            </w:r>
          </w:p>
        </w:tc>
      </w:tr>
      <w:tr>
        <w:tc>
          <w:tcPr>
            <w:tcW w:type="dxa" w:w="2592"/>
            <w:vAlign w:val="center"/>
            <w:shd w:fill="F7F9FC"/>
          </w:tcPr>
          <w:p>
            <w:r/>
            <w:r>
              <w:rPr>
                <w:b w:val="0"/>
                <w:sz w:val="16"/>
              </w:rPr>
              <w:t>Incremental processing</w:t>
            </w:r>
          </w:p>
        </w:tc>
        <w:tc>
          <w:tcPr>
            <w:tcW w:type="dxa" w:w="6912"/>
            <w:vAlign w:val="center"/>
            <w:shd w:fill="F7F9FC"/>
          </w:tcPr>
          <w:p>
            <w:r/>
            <w:r>
              <w:rPr>
                <w:b w:val="0"/>
                <w:sz w:val="16"/>
              </w:rPr>
              <w:t>Read/process only newly arrived or affected data</w:t>
            </w:r>
          </w:p>
        </w:tc>
      </w:tr>
      <w:tr>
        <w:tc>
          <w:tcPr>
            <w:tcW w:type="dxa" w:w="2592"/>
            <w:vAlign w:val="center"/>
          </w:tcPr>
          <w:p>
            <w:r/>
            <w:r>
              <w:rPr>
                <w:b w:val="0"/>
                <w:sz w:val="16"/>
              </w:rPr>
              <w:t>Partition pruning</w:t>
            </w:r>
          </w:p>
        </w:tc>
        <w:tc>
          <w:tcPr>
            <w:tcW w:type="dxa" w:w="6912"/>
            <w:vAlign w:val="center"/>
          </w:tcPr>
          <w:p>
            <w:r/>
            <w:r>
              <w:rPr>
                <w:b w:val="0"/>
                <w:sz w:val="16"/>
              </w:rPr>
              <w:t>Filter by required date partitions before transformation</w:t>
            </w:r>
          </w:p>
        </w:tc>
      </w:tr>
      <w:tr>
        <w:tc>
          <w:tcPr>
            <w:tcW w:type="dxa" w:w="2592"/>
            <w:vAlign w:val="center"/>
            <w:shd w:fill="F7F9FC"/>
          </w:tcPr>
          <w:p>
            <w:r/>
            <w:r>
              <w:rPr>
                <w:b w:val="0"/>
                <w:sz w:val="16"/>
              </w:rPr>
              <w:t>Predicate pushdown</w:t>
            </w:r>
          </w:p>
        </w:tc>
        <w:tc>
          <w:tcPr>
            <w:tcW w:type="dxa" w:w="6912"/>
            <w:vAlign w:val="center"/>
            <w:shd w:fill="F7F9FC"/>
          </w:tcPr>
          <w:p>
            <w:r/>
            <w:r>
              <w:rPr>
                <w:b w:val="0"/>
                <w:sz w:val="16"/>
              </w:rPr>
              <w:t>Push filters toward storage/source where supported</w:t>
            </w:r>
          </w:p>
        </w:tc>
      </w:tr>
      <w:tr>
        <w:tc>
          <w:tcPr>
            <w:tcW w:type="dxa" w:w="2592"/>
            <w:vAlign w:val="center"/>
          </w:tcPr>
          <w:p>
            <w:r/>
            <w:r>
              <w:rPr>
                <w:b w:val="0"/>
                <w:sz w:val="16"/>
              </w:rPr>
              <w:t>Column pruning</w:t>
            </w:r>
          </w:p>
        </w:tc>
        <w:tc>
          <w:tcPr>
            <w:tcW w:type="dxa" w:w="6912"/>
            <w:vAlign w:val="center"/>
          </w:tcPr>
          <w:p>
            <w:r/>
            <w:r>
              <w:rPr>
                <w:b w:val="0"/>
                <w:sz w:val="16"/>
              </w:rPr>
              <w:t>Select only required columns; avoid SELECT *</w:t>
            </w:r>
          </w:p>
        </w:tc>
      </w:tr>
      <w:tr>
        <w:tc>
          <w:tcPr>
            <w:tcW w:type="dxa" w:w="2592"/>
            <w:vAlign w:val="center"/>
            <w:shd w:fill="F7F9FC"/>
          </w:tcPr>
          <w:p>
            <w:r/>
            <w:r>
              <w:rPr>
                <w:b w:val="0"/>
                <w:sz w:val="16"/>
              </w:rPr>
              <w:t>AQE</w:t>
            </w:r>
          </w:p>
        </w:tc>
        <w:tc>
          <w:tcPr>
            <w:tcW w:type="dxa" w:w="6912"/>
            <w:vAlign w:val="center"/>
            <w:shd w:fill="F7F9FC"/>
          </w:tcPr>
          <w:p>
            <w:r/>
            <w:r>
              <w:rPr>
                <w:b w:val="0"/>
                <w:sz w:val="16"/>
              </w:rPr>
              <w:t>Runtime partition coalescing and skew-join optimization</w:t>
            </w:r>
          </w:p>
        </w:tc>
      </w:tr>
      <w:tr>
        <w:tc>
          <w:tcPr>
            <w:tcW w:type="dxa" w:w="2592"/>
            <w:vAlign w:val="center"/>
          </w:tcPr>
          <w:p>
            <w:r/>
            <w:r>
              <w:rPr>
                <w:b w:val="0"/>
                <w:sz w:val="16"/>
              </w:rPr>
              <w:t>Broadcast joins</w:t>
            </w:r>
          </w:p>
        </w:tc>
        <w:tc>
          <w:tcPr>
            <w:tcW w:type="dxa" w:w="6912"/>
            <w:vAlign w:val="center"/>
          </w:tcPr>
          <w:p>
            <w:r/>
            <w:r>
              <w:rPr>
                <w:b w:val="0"/>
                <w:sz w:val="16"/>
              </w:rPr>
              <w:t>Broadcast only genuinely small reference datasets</w:t>
            </w:r>
          </w:p>
        </w:tc>
      </w:tr>
      <w:tr>
        <w:tc>
          <w:tcPr>
            <w:tcW w:type="dxa" w:w="2592"/>
            <w:vAlign w:val="center"/>
            <w:shd w:fill="F7F9FC"/>
          </w:tcPr>
          <w:p>
            <w:r/>
            <w:r>
              <w:rPr>
                <w:b w:val="0"/>
                <w:sz w:val="16"/>
              </w:rPr>
              <w:t>Skew handling</w:t>
            </w:r>
          </w:p>
        </w:tc>
        <w:tc>
          <w:tcPr>
            <w:tcW w:type="dxa" w:w="6912"/>
            <w:vAlign w:val="center"/>
            <w:shd w:fill="F7F9FC"/>
          </w:tcPr>
          <w:p>
            <w:r/>
            <w:r>
              <w:rPr>
                <w:b w:val="0"/>
                <w:sz w:val="16"/>
              </w:rPr>
              <w:t>Detect hot keys; use AQE, salting or repartitioning when justified</w:t>
            </w:r>
          </w:p>
        </w:tc>
      </w:tr>
      <w:tr>
        <w:tc>
          <w:tcPr>
            <w:tcW w:type="dxa" w:w="2592"/>
            <w:vAlign w:val="center"/>
          </w:tcPr>
          <w:p>
            <w:r/>
            <w:r>
              <w:rPr>
                <w:b w:val="0"/>
                <w:sz w:val="16"/>
              </w:rPr>
              <w:t>Shuffle reduction</w:t>
            </w:r>
          </w:p>
        </w:tc>
        <w:tc>
          <w:tcPr>
            <w:tcW w:type="dxa" w:w="6912"/>
            <w:vAlign w:val="center"/>
          </w:tcPr>
          <w:p>
            <w:r/>
            <w:r>
              <w:rPr>
                <w:b w:val="0"/>
                <w:sz w:val="16"/>
              </w:rPr>
              <w:t>Avoid unnecessary repartition, distinct, global sort and groupBy</w:t>
            </w:r>
          </w:p>
        </w:tc>
      </w:tr>
      <w:tr>
        <w:tc>
          <w:tcPr>
            <w:tcW w:type="dxa" w:w="2592"/>
            <w:vAlign w:val="center"/>
            <w:shd w:fill="F7F9FC"/>
          </w:tcPr>
          <w:p>
            <w:r/>
            <w:r>
              <w:rPr>
                <w:b w:val="0"/>
                <w:sz w:val="16"/>
              </w:rPr>
              <w:t>File optimization</w:t>
            </w:r>
          </w:p>
        </w:tc>
        <w:tc>
          <w:tcPr>
            <w:tcW w:type="dxa" w:w="6912"/>
            <w:vAlign w:val="center"/>
            <w:shd w:fill="F7F9FC"/>
          </w:tcPr>
          <w:p>
            <w:r/>
            <w:r>
              <w:rPr>
                <w:b w:val="0"/>
                <w:sz w:val="16"/>
              </w:rPr>
              <w:t>Control output file sizes and mitigate small-file proliferation</w:t>
            </w:r>
          </w:p>
        </w:tc>
      </w:tr>
      <w:tr>
        <w:tc>
          <w:tcPr>
            <w:tcW w:type="dxa" w:w="2592"/>
            <w:vAlign w:val="center"/>
          </w:tcPr>
          <w:p>
            <w:r/>
            <w:r>
              <w:rPr>
                <w:b w:val="0"/>
                <w:sz w:val="16"/>
              </w:rPr>
              <w:t>Caching</w:t>
            </w:r>
          </w:p>
        </w:tc>
        <w:tc>
          <w:tcPr>
            <w:tcW w:type="dxa" w:w="6912"/>
            <w:vAlign w:val="center"/>
          </w:tcPr>
          <w:p>
            <w:r/>
            <w:r>
              <w:rPr>
                <w:b w:val="0"/>
                <w:sz w:val="16"/>
              </w:rPr>
              <w:t>Cache only reused, bounded datasets after measurement</w:t>
            </w:r>
          </w:p>
        </w:tc>
      </w:tr>
      <w:tr>
        <w:tc>
          <w:tcPr>
            <w:tcW w:type="dxa" w:w="2592"/>
            <w:vAlign w:val="center"/>
            <w:shd w:fill="F7F9FC"/>
          </w:tcPr>
          <w:p>
            <w:r/>
            <w:r>
              <w:rPr>
                <w:b w:val="0"/>
                <w:sz w:val="16"/>
              </w:rPr>
              <w:t>Compression</w:t>
            </w:r>
          </w:p>
        </w:tc>
        <w:tc>
          <w:tcPr>
            <w:tcW w:type="dxa" w:w="6912"/>
            <w:vAlign w:val="center"/>
            <w:shd w:fill="F7F9FC"/>
          </w:tcPr>
          <w:p>
            <w:r/>
            <w:r>
              <w:rPr>
                <w:b w:val="0"/>
                <w:sz w:val="16"/>
              </w:rPr>
              <w:t>Use efficient columnar compression appropriate to workload</w:t>
            </w:r>
          </w:p>
        </w:tc>
      </w:tr>
      <w:tr>
        <w:tc>
          <w:tcPr>
            <w:tcW w:type="dxa" w:w="2592"/>
            <w:vAlign w:val="center"/>
          </w:tcPr>
          <w:p>
            <w:r/>
            <w:r>
              <w:rPr>
                <w:b w:val="0"/>
                <w:sz w:val="16"/>
              </w:rPr>
              <w:t>Performance telemetry</w:t>
            </w:r>
          </w:p>
        </w:tc>
        <w:tc>
          <w:tcPr>
            <w:tcW w:type="dxa" w:w="6912"/>
            <w:vAlign w:val="center"/>
          </w:tcPr>
          <w:p>
            <w:r/>
            <w:r>
              <w:rPr>
                <w:b w:val="0"/>
                <w:sz w:val="16"/>
              </w:rPr>
              <w:t>Track runtime, I/O, shuffle, spill, task failures and throughput</w:t>
            </w:r>
          </w:p>
        </w:tc>
      </w:tr>
    </w:tbl>
    <w:p/>
    <w:p>
      <w:pPr>
        <w:pStyle w:val="Heading2"/>
      </w:pPr>
      <w:r>
        <w:t>8.1 Spark configuration baseline</w:t>
      </w:r>
    </w:p>
    <w:p>
      <w:pPr>
        <w:ind w:left="288" w:right="288"/>
        <w:shd w:fill="F3F5F7"/>
      </w:pPr>
      <w:r>
        <w:rPr>
          <w:rFonts w:ascii="Consolas" w:hAnsi="Consolas"/>
          <w:color w:val="222222"/>
          <w:sz w:val="16"/>
        </w:rPr>
        <w:t>spark.sql.adaptive.enabled=true</w:t>
        <w:br/>
        <w:t>spark.sql.adaptive.coalescePartitions.enabled=true</w:t>
        <w:br/>
        <w:t>spark.sql.adaptive.skewJoin.enabled=true</w:t>
        <w:br/>
        <w:br/>
        <w:t># Tune partition counts from observed workload,</w:t>
        <w:br/>
        <w:t># not by blindly applying a single constant.</w:t>
      </w:r>
    </w:p>
    <w:tbl>
      <w:tblPr>
        <w:tblStyle w:val="TableGrid"/>
        <w:tblW w:type="auto" w:w="0"/>
        <w:tblLook w:firstColumn="1" w:firstRow="1" w:lastColumn="0" w:lastRow="0" w:noHBand="0" w:noVBand="1" w:val="04A0"/>
      </w:tblPr>
      <w:tblGrid>
        <w:gridCol w:w="10224"/>
      </w:tblGrid>
      <w:tr>
        <w:tc>
          <w:tcPr>
            <w:tcW w:type="dxa" w:w="10224"/>
            <w:shd w:fill="DDEBF7"/>
          </w:tcPr>
          <w:p>
            <w:r/>
            <w:r>
              <w:rPr>
                <w:b/>
                <w:color w:val="2F5597"/>
                <w:sz w:val="20"/>
              </w:rPr>
              <w:t>Performance principle</w:t>
              <w:br/>
            </w:r>
            <w:r>
              <w:rPr>
                <w:sz w:val="18"/>
              </w:rPr>
              <w:t>The framework should optimize for elapsed time and resource efficiency, not simply maximize cluster size. The primary strategy is to avoid reading, shuffling and rewriting data that does not need to be processed.</w:t>
            </w:r>
          </w:p>
        </w:tc>
      </w:tr>
    </w:tbl>
    <w:p/>
    <w:p>
      <w:pPr>
        <w:pStyle w:val="Heading1"/>
      </w:pPr>
      <w:r>
        <w:t>9. Enterprise Security, PII and Governance</w:t>
      </w:r>
    </w:p>
    <w:p>
      <w:pPr>
        <w:jc w:val="center"/>
      </w:pPr>
      <w:r>
        <w:rPr>
          <w:b/>
        </w:rPr>
        <w:t>Figure 4 — Security and Data Protection Architecture</w:t>
      </w:r>
    </w:p>
    <w:p>
      <w:pPr>
        <w:jc w:val="center"/>
      </w:pPr>
      <w:r>
        <w:drawing>
          <wp:inline xmlns:a="http://schemas.openxmlformats.org/drawingml/2006/main" xmlns:pic="http://schemas.openxmlformats.org/drawingml/2006/picture">
            <wp:extent cx="6217920" cy="3845972"/>
            <wp:docPr id="4" name="Picture 4"/>
            <wp:cNvGraphicFramePr>
              <a:graphicFrameLocks noChangeAspect="1"/>
            </wp:cNvGraphicFramePr>
            <a:graphic>
              <a:graphicData uri="http://schemas.openxmlformats.org/drawingml/2006/picture">
                <pic:pic>
                  <pic:nvPicPr>
                    <pic:cNvPr id="0" name="03_security.png"/>
                    <pic:cNvPicPr/>
                  </pic:nvPicPr>
                  <pic:blipFill>
                    <a:blip r:embed="rId14"/>
                    <a:stretch>
                      <a:fillRect/>
                    </a:stretch>
                  </pic:blipFill>
                  <pic:spPr>
                    <a:xfrm>
                      <a:off x="0" y="0"/>
                      <a:ext cx="6217920" cy="3845972"/>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
              <w:rPr>
                <w:b/>
                <w:color w:val="FFFFFF"/>
                <w:sz w:val="17"/>
              </w:rPr>
              <w:t>Control</w:t>
            </w:r>
          </w:p>
        </w:tc>
        <w:tc>
          <w:tcPr>
            <w:tcW w:type="dxa" w:w="7344"/>
            <w:vAlign w:val="center"/>
            <w:shd w:fill="17365D"/>
          </w:tcPr>
          <w:p>
            <w:r/>
            <w:r>
              <w:rPr>
                <w:b/>
                <w:color w:val="FFFFFF"/>
                <w:sz w:val="17"/>
              </w:rPr>
              <w:t>Design</w:t>
            </w:r>
          </w:p>
        </w:tc>
      </w:tr>
      <w:tr>
        <w:tc>
          <w:tcPr>
            <w:tcW w:type="dxa" w:w="2160"/>
            <w:vAlign w:val="center"/>
            <w:shd w:fill="F7F9FC"/>
          </w:tcPr>
          <w:p>
            <w:r/>
            <w:r>
              <w:rPr>
                <w:b w:val="0"/>
                <w:sz w:val="16"/>
              </w:rPr>
              <w:t>Identity</w:t>
            </w:r>
          </w:p>
        </w:tc>
        <w:tc>
          <w:tcPr>
            <w:tcW w:type="dxa" w:w="7344"/>
            <w:vAlign w:val="center"/>
            <w:shd w:fill="F7F9FC"/>
          </w:tcPr>
          <w:p>
            <w:r/>
            <w:r>
              <w:rPr>
                <w:b w:val="0"/>
                <w:sz w:val="16"/>
              </w:rPr>
              <w:t>Strong service/user identity with least privilege</w:t>
            </w:r>
          </w:p>
        </w:tc>
      </w:tr>
      <w:tr>
        <w:tc>
          <w:tcPr>
            <w:tcW w:type="dxa" w:w="2160"/>
            <w:vAlign w:val="center"/>
          </w:tcPr>
          <w:p>
            <w:r/>
            <w:r>
              <w:rPr>
                <w:b w:val="0"/>
                <w:sz w:val="16"/>
              </w:rPr>
              <w:t>Authorization</w:t>
            </w:r>
          </w:p>
        </w:tc>
        <w:tc>
          <w:tcPr>
            <w:tcW w:type="dxa" w:w="7344"/>
            <w:vAlign w:val="center"/>
          </w:tcPr>
          <w:p>
            <w:r/>
            <w:r>
              <w:rPr>
                <w:b w:val="0"/>
                <w:sz w:val="16"/>
              </w:rPr>
              <w:t>RBAC plus dataset/row/column controls where required</w:t>
            </w:r>
          </w:p>
        </w:tc>
      </w:tr>
      <w:tr>
        <w:tc>
          <w:tcPr>
            <w:tcW w:type="dxa" w:w="2160"/>
            <w:vAlign w:val="center"/>
            <w:shd w:fill="F7F9FC"/>
          </w:tcPr>
          <w:p>
            <w:r/>
            <w:r>
              <w:rPr>
                <w:b w:val="0"/>
                <w:sz w:val="16"/>
              </w:rPr>
              <w:t>Secrets</w:t>
            </w:r>
          </w:p>
        </w:tc>
        <w:tc>
          <w:tcPr>
            <w:tcW w:type="dxa" w:w="7344"/>
            <w:vAlign w:val="center"/>
            <w:shd w:fill="F7F9FC"/>
          </w:tcPr>
          <w:p>
            <w:r/>
            <w:r>
              <w:rPr>
                <w:b w:val="0"/>
                <w:sz w:val="16"/>
              </w:rPr>
              <w:t>Secret manager/runtime injection; never hard-code credentials</w:t>
            </w:r>
          </w:p>
        </w:tc>
      </w:tr>
      <w:tr>
        <w:tc>
          <w:tcPr>
            <w:tcW w:type="dxa" w:w="2160"/>
            <w:vAlign w:val="center"/>
          </w:tcPr>
          <w:p>
            <w:r/>
            <w:r>
              <w:rPr>
                <w:b w:val="0"/>
                <w:sz w:val="16"/>
              </w:rPr>
              <w:t>Encryption</w:t>
            </w:r>
          </w:p>
        </w:tc>
        <w:tc>
          <w:tcPr>
            <w:tcW w:type="dxa" w:w="7344"/>
            <w:vAlign w:val="center"/>
          </w:tcPr>
          <w:p>
            <w:r/>
            <w:r>
              <w:rPr>
                <w:b w:val="0"/>
                <w:sz w:val="16"/>
              </w:rPr>
              <w:t>TLS in transit; managed encryption at rest</w:t>
            </w:r>
          </w:p>
        </w:tc>
      </w:tr>
      <w:tr>
        <w:tc>
          <w:tcPr>
            <w:tcW w:type="dxa" w:w="2160"/>
            <w:vAlign w:val="center"/>
            <w:shd w:fill="F7F9FC"/>
          </w:tcPr>
          <w:p>
            <w:r/>
            <w:r>
              <w:rPr>
                <w:b w:val="0"/>
                <w:sz w:val="16"/>
              </w:rPr>
              <w:t>PII discovery</w:t>
            </w:r>
          </w:p>
        </w:tc>
        <w:tc>
          <w:tcPr>
            <w:tcW w:type="dxa" w:w="7344"/>
            <w:vAlign w:val="center"/>
            <w:shd w:fill="F7F9FC"/>
          </w:tcPr>
          <w:p>
            <w:r/>
            <w:r>
              <w:rPr>
                <w:b w:val="0"/>
                <w:sz w:val="16"/>
              </w:rPr>
              <w:t>Pattern/metadata-based detection and classification</w:t>
            </w:r>
          </w:p>
        </w:tc>
      </w:tr>
      <w:tr>
        <w:tc>
          <w:tcPr>
            <w:tcW w:type="dxa" w:w="2160"/>
            <w:vAlign w:val="center"/>
          </w:tcPr>
          <w:p>
            <w:r/>
            <w:r>
              <w:rPr>
                <w:b w:val="0"/>
                <w:sz w:val="16"/>
              </w:rPr>
              <w:t>PII protection</w:t>
            </w:r>
          </w:p>
        </w:tc>
        <w:tc>
          <w:tcPr>
            <w:tcW w:type="dxa" w:w="7344"/>
            <w:vAlign w:val="center"/>
          </w:tcPr>
          <w:p>
            <w:r/>
            <w:r>
              <w:rPr>
                <w:b w:val="0"/>
                <w:sz w:val="16"/>
              </w:rPr>
              <w:t>Masking, tokenization, hashing or encryption according to policy</w:t>
            </w:r>
          </w:p>
        </w:tc>
      </w:tr>
      <w:tr>
        <w:tc>
          <w:tcPr>
            <w:tcW w:type="dxa" w:w="2160"/>
            <w:vAlign w:val="center"/>
            <w:shd w:fill="F7F9FC"/>
          </w:tcPr>
          <w:p>
            <w:r/>
            <w:r>
              <w:rPr>
                <w:b w:val="0"/>
                <w:sz w:val="16"/>
              </w:rPr>
              <w:t>Audit</w:t>
            </w:r>
          </w:p>
        </w:tc>
        <w:tc>
          <w:tcPr>
            <w:tcW w:type="dxa" w:w="7344"/>
            <w:vAlign w:val="center"/>
            <w:shd w:fill="F7F9FC"/>
          </w:tcPr>
          <w:p>
            <w:r/>
            <w:r>
              <w:rPr>
                <w:b w:val="0"/>
                <w:sz w:val="16"/>
              </w:rPr>
              <w:t>Access, pipeline, DQ and security events</w:t>
            </w:r>
          </w:p>
        </w:tc>
      </w:tr>
      <w:tr>
        <w:tc>
          <w:tcPr>
            <w:tcW w:type="dxa" w:w="2160"/>
            <w:vAlign w:val="center"/>
          </w:tcPr>
          <w:p>
            <w:r/>
            <w:r>
              <w:rPr>
                <w:b w:val="0"/>
                <w:sz w:val="16"/>
              </w:rPr>
              <w:t>AI access</w:t>
            </w:r>
          </w:p>
        </w:tc>
        <w:tc>
          <w:tcPr>
            <w:tcW w:type="dxa" w:w="7344"/>
            <w:vAlign w:val="center"/>
          </w:tcPr>
          <w:p>
            <w:r/>
            <w:r>
              <w:rPr>
                <w:b w:val="0"/>
                <w:sz w:val="16"/>
              </w:rPr>
              <w:t>Read-only approved tools; no unrestricted database access</w:t>
            </w:r>
          </w:p>
        </w:tc>
      </w:tr>
      <w:tr>
        <w:tc>
          <w:tcPr>
            <w:tcW w:type="dxa" w:w="2160"/>
            <w:vAlign w:val="center"/>
            <w:shd w:fill="F7F9FC"/>
          </w:tcPr>
          <w:p>
            <w:r/>
            <w:r>
              <w:rPr>
                <w:b w:val="0"/>
                <w:sz w:val="16"/>
              </w:rPr>
              <w:t>SQL safety</w:t>
            </w:r>
          </w:p>
        </w:tc>
        <w:tc>
          <w:tcPr>
            <w:tcW w:type="dxa" w:w="7344"/>
            <w:vAlign w:val="center"/>
            <w:shd w:fill="F7F9FC"/>
          </w:tcPr>
          <w:p>
            <w:r/>
            <w:r>
              <w:rPr>
                <w:b w:val="0"/>
                <w:sz w:val="16"/>
              </w:rPr>
              <w:t>SELECT-only, allow-listed tables/columns, resource limits</w:t>
            </w:r>
          </w:p>
        </w:tc>
      </w:tr>
      <w:tr>
        <w:tc>
          <w:tcPr>
            <w:tcW w:type="dxa" w:w="2160"/>
            <w:vAlign w:val="center"/>
          </w:tcPr>
          <w:p>
            <w:r/>
            <w:r>
              <w:rPr>
                <w:b w:val="0"/>
                <w:sz w:val="16"/>
              </w:rPr>
              <w:t>RAG security</w:t>
            </w:r>
          </w:p>
        </w:tc>
        <w:tc>
          <w:tcPr>
            <w:tcW w:type="dxa" w:w="7344"/>
            <w:vAlign w:val="center"/>
          </w:tcPr>
          <w:p>
            <w:r/>
            <w:r>
              <w:rPr>
                <w:b w:val="0"/>
                <w:sz w:val="16"/>
              </w:rPr>
              <w:t>Metadata/authorization filtering before context reaches LLM</w:t>
            </w:r>
          </w:p>
        </w:tc>
      </w:tr>
    </w:tbl>
    <w:p/>
    <w:p>
      <w:pPr>
        <w:pStyle w:val="Heading2"/>
      </w:pPr>
      <w:r>
        <w:t>9.1 PII classification</w:t>
      </w:r>
    </w:p>
    <w:p>
      <w:pPr>
        <w:pStyle w:val="ListBullet"/>
        <w:spacing w:after="40"/>
      </w:pPr>
      <w:r>
        <w:t>PUBLIC</w:t>
      </w:r>
    </w:p>
    <w:p>
      <w:pPr>
        <w:pStyle w:val="ListBullet"/>
        <w:spacing w:after="40"/>
      </w:pPr>
      <w:r>
        <w:t>INTERNAL</w:t>
      </w:r>
    </w:p>
    <w:p>
      <w:pPr>
        <w:pStyle w:val="ListBullet"/>
        <w:spacing w:after="40"/>
      </w:pPr>
      <w:r>
        <w:t>CONFIDENTIAL</w:t>
      </w:r>
    </w:p>
    <w:p>
      <w:pPr>
        <w:pStyle w:val="ListBullet"/>
        <w:spacing w:after="40"/>
      </w:pPr>
      <w:r>
        <w:t>PII</w:t>
      </w:r>
    </w:p>
    <w:p>
      <w:pPr>
        <w:pStyle w:val="ListBullet"/>
        <w:spacing w:after="40"/>
      </w:pPr>
      <w:r>
        <w:t>SENSITIVE_PII</w:t>
      </w:r>
    </w:p>
    <w:p>
      <w:pPr>
        <w:pStyle w:val="ListBullet"/>
        <w:spacing w:after="40"/>
      </w:pPr>
      <w:r>
        <w:t>PCI</w:t>
      </w:r>
    </w:p>
    <w:p>
      <w:r>
        <w:t>The current Electricity Maps dataset is not expected to contain personal data; the PII capability is therefore implemented as a reusable framework control rather than artificially introducing PII into the assignment dataset.</w:t>
      </w:r>
    </w:p>
    <w:p>
      <w:pPr>
        <w:pStyle w:val="Heading1"/>
      </w:pPr>
      <w:r>
        <w:t>10. Incremental, Idempotent and Resilient Processing</w:t>
      </w:r>
    </w:p>
    <w:p>
      <w:pPr>
        <w:ind w:left="288" w:right="288"/>
        <w:shd w:fill="F3F5F7"/>
      </w:pPr>
      <w:r>
        <w:rPr>
          <w:rFonts w:ascii="Consolas" w:hAnsi="Consolas"/>
          <w:color w:val="222222"/>
          <w:sz w:val="16"/>
        </w:rPr>
        <w:t>Source</w:t>
        <w:br/>
        <w:t xml:space="preserve">  ↓</w:t>
        <w:br/>
        <w:t>Watermark / checkpoint</w:t>
        <w:br/>
        <w:t xml:space="preserve">  ↓</w:t>
        <w:br/>
        <w:t>New or changed data</w:t>
        <w:br/>
        <w:t xml:space="preserve">  ↓</w:t>
        <w:br/>
        <w:t>Bronze append</w:t>
        <w:br/>
        <w:t xml:space="preserve">  ↓</w:t>
        <w:br/>
        <w:t>Silver deterministic deduplication</w:t>
        <w:br/>
        <w:t xml:space="preserve">  ↓</w:t>
        <w:br/>
        <w:t>Incremental MERGE</w:t>
        <w:br/>
        <w:t xml:space="preserve">  ↓</w:t>
        <w:br/>
        <w:t>Affected Gold partitions</w:t>
        <w:br/>
        <w:t xml:space="preserve">  ↓</w:t>
        <w:br/>
        <w:t>Audit + checkpoint commit</w:t>
      </w:r>
    </w:p>
    <w:p>
      <w:pPr>
        <w:pStyle w:val="Heading2"/>
      </w:pPr>
      <w:r>
        <w:t>10.1 API resilience</w:t>
      </w:r>
    </w:p>
    <w:p>
      <w:pPr>
        <w:pStyle w:val="ListBullet"/>
        <w:spacing w:after="40"/>
      </w:pPr>
      <w:r>
        <w:t>Connection and read timeouts.</w:t>
      </w:r>
    </w:p>
    <w:p>
      <w:pPr>
        <w:pStyle w:val="ListBullet"/>
        <w:spacing w:after="40"/>
      </w:pPr>
      <w:r>
        <w:t>HTTP 429 rate-limit handling.</w:t>
      </w:r>
    </w:p>
    <w:p>
      <w:pPr>
        <w:pStyle w:val="ListBullet"/>
        <w:spacing w:after="40"/>
      </w:pPr>
      <w:r>
        <w:t>Retry transient 5xx failures.</w:t>
      </w:r>
    </w:p>
    <w:p>
      <w:pPr>
        <w:pStyle w:val="ListBullet"/>
        <w:spacing w:after="40"/>
      </w:pPr>
      <w:r>
        <w:t>Exponential backoff with jitter.</w:t>
      </w:r>
    </w:p>
    <w:p>
      <w:pPr>
        <w:pStyle w:val="ListBullet"/>
        <w:spacing w:after="40"/>
      </w:pPr>
      <w:r>
        <w:t>Maximum retry count and dead-letter/error state.</w:t>
      </w:r>
    </w:p>
    <w:p>
      <w:pPr>
        <w:pStyle w:val="ListBullet"/>
        <w:spacing w:after="40"/>
      </w:pPr>
      <w:r>
        <w:t>Request correlation IDs.</w:t>
      </w:r>
    </w:p>
    <w:p>
      <w:pPr>
        <w:pStyle w:val="ListBullet"/>
        <w:spacing w:after="40"/>
      </w:pPr>
      <w:r>
        <w:t>Structured error logging without exposing secrets.</w:t>
      </w:r>
    </w:p>
    <w:p>
      <w:pPr>
        <w:pStyle w:val="ListBullet"/>
        <w:spacing w:after="40"/>
      </w:pPr>
      <w:r>
        <w:t>Replay from the last successful watermark.</w:t>
      </w:r>
    </w:p>
    <w:p>
      <w:pPr>
        <w:pStyle w:val="Heading1"/>
      </w:pPr>
      <w:r>
        <w:t>11. Audit, Observability and Operations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r/>
            <w:r>
              <w:rPr>
                <w:b/>
                <w:color w:val="FFFFFF"/>
                <w:sz w:val="17"/>
              </w:rPr>
              <w:t>Area</w:t>
            </w:r>
          </w:p>
        </w:tc>
        <w:tc>
          <w:tcPr>
            <w:tcW w:type="dxa" w:w="7056"/>
            <w:vAlign w:val="center"/>
            <w:shd w:fill="17365D"/>
          </w:tcPr>
          <w:p>
            <w:r/>
            <w:r>
              <w:rPr>
                <w:b/>
                <w:color w:val="FFFFFF"/>
                <w:sz w:val="17"/>
              </w:rPr>
              <w:t>Tracked information</w:t>
            </w:r>
          </w:p>
        </w:tc>
      </w:tr>
      <w:tr>
        <w:tc>
          <w:tcPr>
            <w:tcW w:type="dxa" w:w="2448"/>
            <w:vAlign w:val="center"/>
            <w:shd w:fill="F7F9FC"/>
          </w:tcPr>
          <w:p>
            <w:r/>
            <w:r>
              <w:rPr>
                <w:b w:val="0"/>
                <w:sz w:val="16"/>
              </w:rPr>
              <w:t>Pipeline audit</w:t>
            </w:r>
          </w:p>
        </w:tc>
        <w:tc>
          <w:tcPr>
            <w:tcW w:type="dxa" w:w="7056"/>
            <w:vAlign w:val="center"/>
            <w:shd w:fill="F7F9FC"/>
          </w:tcPr>
          <w:p>
            <w:r/>
            <w:r>
              <w:rPr>
                <w:b w:val="0"/>
                <w:sz w:val="16"/>
              </w:rPr>
              <w:t>run_id, pipeline, dataset, start/end, status</w:t>
            </w:r>
          </w:p>
        </w:tc>
      </w:tr>
      <w:tr>
        <w:tc>
          <w:tcPr>
            <w:tcW w:type="dxa" w:w="2448"/>
            <w:vAlign w:val="center"/>
          </w:tcPr>
          <w:p>
            <w:r/>
            <w:r>
              <w:rPr>
                <w:b w:val="0"/>
                <w:sz w:val="16"/>
              </w:rPr>
              <w:t>Volume</w:t>
            </w:r>
          </w:p>
        </w:tc>
        <w:tc>
          <w:tcPr>
            <w:tcW w:type="dxa" w:w="7056"/>
            <w:vAlign w:val="center"/>
          </w:tcPr>
          <w:p>
            <w:r/>
            <w:r>
              <w:rPr>
                <w:b w:val="0"/>
                <w:sz w:val="16"/>
              </w:rPr>
              <w:t>records read/written/rejected</w:t>
            </w:r>
          </w:p>
        </w:tc>
      </w:tr>
      <w:tr>
        <w:tc>
          <w:tcPr>
            <w:tcW w:type="dxa" w:w="2448"/>
            <w:vAlign w:val="center"/>
            <w:shd w:fill="F7F9FC"/>
          </w:tcPr>
          <w:p>
            <w:r/>
            <w:r>
              <w:rPr>
                <w:b w:val="0"/>
                <w:sz w:val="16"/>
              </w:rPr>
              <w:t>Quality</w:t>
            </w:r>
          </w:p>
        </w:tc>
        <w:tc>
          <w:tcPr>
            <w:tcW w:type="dxa" w:w="7056"/>
            <w:vAlign w:val="center"/>
            <w:shd w:fill="F7F9FC"/>
          </w:tcPr>
          <w:p>
            <w:r/>
            <w:r>
              <w:rPr>
                <w:b w:val="0"/>
                <w:sz w:val="16"/>
              </w:rPr>
              <w:t>DQ score, failed rules, quarantine counts</w:t>
            </w:r>
          </w:p>
        </w:tc>
      </w:tr>
      <w:tr>
        <w:tc>
          <w:tcPr>
            <w:tcW w:type="dxa" w:w="2448"/>
            <w:vAlign w:val="center"/>
          </w:tcPr>
          <w:p>
            <w:r/>
            <w:r>
              <w:rPr>
                <w:b w:val="0"/>
                <w:sz w:val="16"/>
              </w:rPr>
              <w:t>Freshness</w:t>
            </w:r>
          </w:p>
        </w:tc>
        <w:tc>
          <w:tcPr>
            <w:tcW w:type="dxa" w:w="7056"/>
            <w:vAlign w:val="center"/>
          </w:tcPr>
          <w:p>
            <w:r/>
            <w:r>
              <w:rPr>
                <w:b w:val="0"/>
                <w:sz w:val="16"/>
              </w:rPr>
              <w:t>watermark, data latency, SLA status</w:t>
            </w:r>
          </w:p>
        </w:tc>
      </w:tr>
      <w:tr>
        <w:tc>
          <w:tcPr>
            <w:tcW w:type="dxa" w:w="2448"/>
            <w:vAlign w:val="center"/>
            <w:shd w:fill="F7F9FC"/>
          </w:tcPr>
          <w:p>
            <w:r/>
            <w:r>
              <w:rPr>
                <w:b w:val="0"/>
                <w:sz w:val="16"/>
              </w:rPr>
              <w:t>Performance</w:t>
            </w:r>
          </w:p>
        </w:tc>
        <w:tc>
          <w:tcPr>
            <w:tcW w:type="dxa" w:w="7056"/>
            <w:vAlign w:val="center"/>
            <w:shd w:fill="F7F9FC"/>
          </w:tcPr>
          <w:p>
            <w:r/>
            <w:r>
              <w:rPr>
                <w:b w:val="0"/>
                <w:sz w:val="16"/>
              </w:rPr>
              <w:t>runtime, throughput, I/O, shuffle, spill</w:t>
            </w:r>
          </w:p>
        </w:tc>
      </w:tr>
      <w:tr>
        <w:tc>
          <w:tcPr>
            <w:tcW w:type="dxa" w:w="2448"/>
            <w:vAlign w:val="center"/>
          </w:tcPr>
          <w:p>
            <w:r/>
            <w:r>
              <w:rPr>
                <w:b w:val="0"/>
                <w:sz w:val="16"/>
              </w:rPr>
              <w:t>API</w:t>
            </w:r>
          </w:p>
        </w:tc>
        <w:tc>
          <w:tcPr>
            <w:tcW w:type="dxa" w:w="7056"/>
            <w:vAlign w:val="center"/>
          </w:tcPr>
          <w:p>
            <w:r/>
            <w:r>
              <w:rPr>
                <w:b w:val="0"/>
                <w:sz w:val="16"/>
              </w:rPr>
              <w:t>latency, response code, retries, rate limits</w:t>
            </w:r>
          </w:p>
        </w:tc>
      </w:tr>
      <w:tr>
        <w:tc>
          <w:tcPr>
            <w:tcW w:type="dxa" w:w="2448"/>
            <w:vAlign w:val="center"/>
            <w:shd w:fill="F7F9FC"/>
          </w:tcPr>
          <w:p>
            <w:r/>
            <w:r>
              <w:rPr>
                <w:b w:val="0"/>
                <w:sz w:val="16"/>
              </w:rPr>
              <w:t>Security</w:t>
            </w:r>
          </w:p>
        </w:tc>
        <w:tc>
          <w:tcPr>
            <w:tcW w:type="dxa" w:w="7056"/>
            <w:vAlign w:val="center"/>
            <w:shd w:fill="F7F9FC"/>
          </w:tcPr>
          <w:p>
            <w:r/>
            <w:r>
              <w:rPr>
                <w:b w:val="0"/>
                <w:sz w:val="16"/>
              </w:rPr>
              <w:t>authentication/access events, policy violations</w:t>
            </w:r>
          </w:p>
        </w:tc>
      </w:tr>
      <w:tr>
        <w:tc>
          <w:tcPr>
            <w:tcW w:type="dxa" w:w="2448"/>
            <w:vAlign w:val="center"/>
          </w:tcPr>
          <w:p>
            <w:r/>
            <w:r>
              <w:rPr>
                <w:b w:val="0"/>
                <w:sz w:val="16"/>
              </w:rPr>
              <w:t>Lineage</w:t>
            </w:r>
          </w:p>
        </w:tc>
        <w:tc>
          <w:tcPr>
            <w:tcW w:type="dxa" w:w="7056"/>
            <w:vAlign w:val="center"/>
          </w:tcPr>
          <w:p>
            <w:r/>
            <w:r>
              <w:rPr>
                <w:b w:val="0"/>
                <w:sz w:val="16"/>
              </w:rPr>
              <w:t>source → Bronze → Silver → Gold → AI tool</w:t>
            </w:r>
          </w:p>
        </w:tc>
      </w:tr>
    </w:tbl>
    <w:p/>
    <w:p>
      <w:pPr>
        <w:pStyle w:val="Heading1"/>
      </w:pPr>
      <w:r>
        <w:t>12. Orchestration and CI/CD</w:t>
      </w:r>
    </w:p>
    <w:p>
      <w:pPr>
        <w:ind w:left="288" w:right="288"/>
        <w:shd w:fill="F3F5F7"/>
      </w:pPr>
      <w:r>
        <w:rPr>
          <w:rFonts w:ascii="Consolas" w:hAnsi="Consolas"/>
          <w:color w:val="222222"/>
          <w:sz w:val="16"/>
        </w:rPr>
        <w:t>validate_config</w:t>
        <w:br/>
        <w:t xml:space="preserve">      ↓</w:t>
        <w:br/>
        <w:t>ingest_flows ──────┐</w:t>
        <w:br/>
        <w:t xml:space="preserve">                   ├── validate_bronze</w:t>
        <w:br/>
        <w:t>ingest_mix ────────┘</w:t>
        <w:br/>
        <w:t xml:space="preserve">      ↓</w:t>
        <w:br/>
        <w:t>transform_flows</w:t>
        <w:br/>
        <w:t>transform_mix</w:t>
        <w:br/>
        <w:t xml:space="preserve">      ↓</w:t>
        <w:br/>
        <w:t>validate_silver</w:t>
        <w:br/>
        <w:t xml:space="preserve">      ↓</w:t>
        <w:br/>
        <w:t>build_daily_mix</w:t>
        <w:br/>
        <w:t>build_net_imports</w:t>
        <w:br/>
        <w:t>build_net_exports</w:t>
        <w:br/>
        <w:t xml:space="preserve">      ↓</w:t>
        <w:br/>
        <w:t>validate_gold</w:t>
        <w:br/>
        <w:t xml:space="preserve">      ↓</w:t>
        <w:br/>
        <w:t>publish / notify</w:t>
      </w:r>
    </w:p>
    <w:p>
      <w:pPr>
        <w:pStyle w:val="Heading2"/>
      </w:pPr>
      <w:r>
        <w:t>12.1 CI/CD gates</w:t>
      </w:r>
    </w:p>
    <w:p>
      <w:pPr>
        <w:pStyle w:val="ListBullet"/>
        <w:spacing w:after="40"/>
      </w:pPr>
      <w:r>
        <w:t>Linting and formatting checks.</w:t>
      </w:r>
    </w:p>
    <w:p>
      <w:pPr>
        <w:pStyle w:val="ListBullet"/>
        <w:spacing w:after="40"/>
      </w:pPr>
      <w:r>
        <w:t>Unit tests for transformations and utility functions.</w:t>
      </w:r>
    </w:p>
    <w:p>
      <w:pPr>
        <w:pStyle w:val="ListBullet"/>
        <w:spacing w:after="40"/>
      </w:pPr>
      <w:r>
        <w:t>Schema and contract tests.</w:t>
      </w:r>
    </w:p>
    <w:p>
      <w:pPr>
        <w:pStyle w:val="ListBullet"/>
        <w:spacing w:after="40"/>
      </w:pPr>
      <w:r>
        <w:t>Data-quality regression tests.</w:t>
      </w:r>
    </w:p>
    <w:p>
      <w:pPr>
        <w:pStyle w:val="ListBullet"/>
        <w:spacing w:after="40"/>
      </w:pPr>
      <w:r>
        <w:t>Integration tests using representative sample data.</w:t>
      </w:r>
    </w:p>
    <w:p>
      <w:pPr>
        <w:pStyle w:val="ListBullet"/>
        <w:spacing w:after="40"/>
      </w:pPr>
      <w:r>
        <w:t>Security/dependency scanning.</w:t>
      </w:r>
    </w:p>
    <w:p>
      <w:pPr>
        <w:pStyle w:val="ListBullet"/>
        <w:spacing w:after="40"/>
      </w:pPr>
      <w:r>
        <w:t>Build validation.</w:t>
      </w:r>
    </w:p>
    <w:p>
      <w:pPr>
        <w:pStyle w:val="ListBullet"/>
        <w:spacing w:after="40"/>
      </w:pPr>
      <w:r>
        <w:t>Controlled deployment promotion.</w:t>
      </w:r>
    </w:p>
    <w:p>
      <w:pPr>
        <w:pStyle w:val="Heading1"/>
      </w:pPr>
      <w:r>
        <w:t>13. RAG-Enabled AI Data Agent</w:t>
      </w:r>
    </w:p>
    <w:p>
      <w:pPr>
        <w:jc w:val="center"/>
      </w:pPr>
      <w:r>
        <w:rPr>
          <w:b/>
        </w:rPr>
        <w:t>Figure 5 — AI Data Agent and RAG Architecture</w:t>
      </w:r>
    </w:p>
    <w:p>
      <w:pPr>
        <w:jc w:val="center"/>
      </w:pPr>
      <w:r>
        <w:drawing>
          <wp:inline xmlns:a="http://schemas.openxmlformats.org/drawingml/2006/main" xmlns:pic="http://schemas.openxmlformats.org/drawingml/2006/picture">
            <wp:extent cx="6217920" cy="8504470"/>
            <wp:docPr id="5" name="Picture 5"/>
            <wp:cNvGraphicFramePr>
              <a:graphicFrameLocks noChangeAspect="1"/>
            </wp:cNvGraphicFramePr>
            <a:graphic>
              <a:graphicData uri="http://schemas.openxmlformats.org/drawingml/2006/picture">
                <pic:pic>
                  <pic:nvPicPr>
                    <pic:cNvPr id="0" name="05_ai.png"/>
                    <pic:cNvPicPr/>
                  </pic:nvPicPr>
                  <pic:blipFill>
                    <a:blip r:embed="rId15"/>
                    <a:stretch>
                      <a:fillRect/>
                    </a:stretch>
                  </pic:blipFill>
                  <pic:spPr>
                    <a:xfrm>
                      <a:off x="0" y="0"/>
                      <a:ext cx="6217920" cy="8504470"/>
                    </a:xfrm>
                    <a:prstGeom prst="rect"/>
                  </pic:spPr>
                </pic:pic>
              </a:graphicData>
            </a:graphic>
          </wp:inline>
        </w:drawing>
      </w:r>
    </w:p>
    <w:p>
      <w:r>
        <w:t>The assignment asks for a design connecting the ETL pipeline to an LLM conversational interface. The recommended design uses separate tools for structured analytics and unstructured knowledge retrieval rather than embedding all numerical data into a vector store.</w:t>
      </w:r>
    </w:p>
    <w:p>
      <w:pPr>
        <w:pStyle w:val="Heading2"/>
      </w:pPr>
      <w:r>
        <w:t>13.1 Analytical question path</w:t>
      </w:r>
    </w:p>
    <w:p>
      <w:pPr>
        <w:ind w:left="288" w:right="288"/>
        <w:shd w:fill="F3F5F7"/>
      </w:pPr>
      <w:r>
        <w:rPr>
          <w:rFonts w:ascii="Consolas" w:hAnsi="Consolas"/>
          <w:color w:val="222222"/>
          <w:sz w:val="16"/>
        </w:rPr>
        <w:t>User question</w:t>
        <w:br/>
        <w:t xml:space="preserve">  ↓</w:t>
        <w:br/>
        <w:t>Intent classification</w:t>
        <w:br/>
        <w:t xml:space="preserve">  ↓</w:t>
        <w:br/>
        <w:t>SQL / Metrics tool</w:t>
        <w:br/>
        <w:t xml:space="preserve">  ↓</w:t>
        <w:br/>
        <w:t>Gold Delta / Parquet</w:t>
        <w:br/>
        <w:t xml:space="preserve">  ↓</w:t>
        <w:br/>
        <w:t>Validated result</w:t>
        <w:br/>
        <w:t xml:space="preserve">  ↓</w:t>
        <w:br/>
        <w:t>LLM explanation</w:t>
        <w:br/>
        <w:t xml:space="preserve">  ↓</w:t>
        <w:br/>
        <w:t>Grounded answer</w:t>
      </w:r>
    </w:p>
    <w:p>
      <w:pPr>
        <w:pStyle w:val="Heading2"/>
      </w:pPr>
      <w:r>
        <w:t>13.2 Knowledge question path</w:t>
      </w:r>
    </w:p>
    <w:p>
      <w:pPr>
        <w:ind w:left="288" w:right="288"/>
        <w:shd w:fill="F3F5F7"/>
      </w:pPr>
      <w:r>
        <w:rPr>
          <w:rFonts w:ascii="Consolas" w:hAnsi="Consolas"/>
          <w:color w:val="222222"/>
          <w:sz w:val="16"/>
        </w:rPr>
        <w:t>User question</w:t>
        <w:br/>
        <w:t xml:space="preserve">  ↓</w:t>
        <w:br/>
        <w:t>Query rewriting</w:t>
        <w:br/>
        <w:t xml:space="preserve">  ↓</w:t>
        <w:br/>
        <w:t>Hybrid retrieval</w:t>
        <w:br/>
        <w:t xml:space="preserve">  ↓</w:t>
        <w:br/>
        <w:t>Metadata/security filtering</w:t>
        <w:br/>
        <w:t xml:space="preserve">  ↓</w:t>
        <w:br/>
        <w:t>Reranking</w:t>
        <w:br/>
        <w:t xml:space="preserve">  ↓</w:t>
        <w:br/>
        <w:t>Documentation / FAQs</w:t>
        <w:br/>
        <w:t xml:space="preserve">  ↓</w:t>
        <w:br/>
        <w:t>LLM</w:t>
        <w:br/>
        <w:t xml:space="preserve">  ↓</w:t>
        <w:br/>
        <w:t>Grounded answer + citation</w:t>
      </w:r>
    </w:p>
    <w:p>
      <w:pPr>
        <w:pStyle w:val="Heading2"/>
      </w:pPr>
      <w:r>
        <w:t>13.3 Hybrid question</w:t>
      </w:r>
    </w:p>
    <w:p>
      <w:r>
        <w:t>Example: "Why did France's renewable share decline compared with the previous month?"</w:t>
      </w:r>
    </w:p>
    <w:p>
      <w:pPr>
        <w:pStyle w:val="ListBullet"/>
        <w:spacing w:after="40"/>
      </w:pPr>
      <w:r>
        <w:t>Query Gold data for the relevant periods.</w:t>
      </w:r>
    </w:p>
    <w:p>
      <w:pPr>
        <w:pStyle w:val="ListBullet"/>
        <w:spacing w:after="40"/>
      </w:pPr>
      <w:r>
        <w:t>Calculate the observed change using deterministic logic.</w:t>
      </w:r>
    </w:p>
    <w:p>
      <w:pPr>
        <w:pStyle w:val="ListBullet"/>
        <w:spacing w:after="40"/>
      </w:pPr>
      <w:r>
        <w:t>Retrieve methodology/domain documentation.</w:t>
      </w:r>
    </w:p>
    <w:p>
      <w:pPr>
        <w:pStyle w:val="ListBullet"/>
        <w:spacing w:after="40"/>
      </w:pPr>
      <w:r>
        <w:t>Provide the LLM with the structured result and authorized contextual evidence.</w:t>
      </w:r>
    </w:p>
    <w:p>
      <w:pPr>
        <w:pStyle w:val="ListBullet"/>
        <w:spacing w:after="40"/>
      </w:pPr>
      <w:r>
        <w:t>Generate an explanation that clearly distinguishes observed data from interpretation.</w:t>
      </w:r>
    </w:p>
    <w:p>
      <w:pPr>
        <w:pStyle w:val="Heading1"/>
      </w:pPr>
      <w:r>
        <w:t>14. AI Safety and Governance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b/>
                <w:color w:val="FFFFFF"/>
                <w:sz w:val="17"/>
              </w:rPr>
              <w:t>Risk</w:t>
            </w:r>
          </w:p>
        </w:tc>
        <w:tc>
          <w:tcPr>
            <w:tcW w:type="dxa" w:w="6912"/>
            <w:vAlign w:val="center"/>
            <w:shd w:fill="17365D"/>
          </w:tcPr>
          <w:p>
            <w:r/>
            <w:r>
              <w:rPr>
                <w:b/>
                <w:color w:val="FFFFFF"/>
                <w:sz w:val="17"/>
              </w:rPr>
              <w:t>Control</w:t>
            </w:r>
          </w:p>
        </w:tc>
      </w:tr>
      <w:tr>
        <w:tc>
          <w:tcPr>
            <w:tcW w:type="dxa" w:w="2592"/>
            <w:vAlign w:val="center"/>
            <w:shd w:fill="F7F9FC"/>
          </w:tcPr>
          <w:p>
            <w:r/>
            <w:r>
              <w:rPr>
                <w:b w:val="0"/>
                <w:sz w:val="16"/>
              </w:rPr>
              <w:t>Prompt injection</w:t>
            </w:r>
          </w:p>
        </w:tc>
        <w:tc>
          <w:tcPr>
            <w:tcW w:type="dxa" w:w="6912"/>
            <w:vAlign w:val="center"/>
            <w:shd w:fill="F7F9FC"/>
          </w:tcPr>
          <w:p>
            <w:r/>
            <w:r>
              <w:rPr>
                <w:b w:val="0"/>
                <w:sz w:val="16"/>
              </w:rPr>
              <w:t>Input validation, tool boundaries, instruction hierarchy</w:t>
            </w:r>
          </w:p>
        </w:tc>
      </w:tr>
      <w:tr>
        <w:tc>
          <w:tcPr>
            <w:tcW w:type="dxa" w:w="2592"/>
            <w:vAlign w:val="center"/>
          </w:tcPr>
          <w:p>
            <w:r/>
            <w:r>
              <w:rPr>
                <w:b w:val="0"/>
                <w:sz w:val="16"/>
              </w:rPr>
              <w:t>Unsafe SQL</w:t>
            </w:r>
          </w:p>
        </w:tc>
        <w:tc>
          <w:tcPr>
            <w:tcW w:type="dxa" w:w="6912"/>
            <w:vAlign w:val="center"/>
          </w:tcPr>
          <w:p>
            <w:r/>
            <w:r>
              <w:rPr>
                <w:b w:val="0"/>
                <w:sz w:val="16"/>
              </w:rPr>
              <w:t>Parser, SELECT-only policy, allow-list, resource limits</w:t>
            </w:r>
          </w:p>
        </w:tc>
      </w:tr>
      <w:tr>
        <w:tc>
          <w:tcPr>
            <w:tcW w:type="dxa" w:w="2592"/>
            <w:vAlign w:val="center"/>
            <w:shd w:fill="F7F9FC"/>
          </w:tcPr>
          <w:p>
            <w:r/>
            <w:r>
              <w:rPr>
                <w:b w:val="0"/>
                <w:sz w:val="16"/>
              </w:rPr>
              <w:t>PII leakage</w:t>
            </w:r>
          </w:p>
        </w:tc>
        <w:tc>
          <w:tcPr>
            <w:tcW w:type="dxa" w:w="6912"/>
            <w:vAlign w:val="center"/>
            <w:shd w:fill="F7F9FC"/>
          </w:tcPr>
          <w:p>
            <w:r/>
            <w:r>
              <w:rPr>
                <w:b w:val="0"/>
                <w:sz w:val="16"/>
              </w:rPr>
              <w:t>Classification/masking and output policy</w:t>
            </w:r>
          </w:p>
        </w:tc>
      </w:tr>
      <w:tr>
        <w:tc>
          <w:tcPr>
            <w:tcW w:type="dxa" w:w="2592"/>
            <w:vAlign w:val="center"/>
          </w:tcPr>
          <w:p>
            <w:r/>
            <w:r>
              <w:rPr>
                <w:b w:val="0"/>
                <w:sz w:val="16"/>
              </w:rPr>
              <w:t>Unauthorized data</w:t>
            </w:r>
          </w:p>
        </w:tc>
        <w:tc>
          <w:tcPr>
            <w:tcW w:type="dxa" w:w="6912"/>
            <w:vAlign w:val="center"/>
          </w:tcPr>
          <w:p>
            <w:r/>
            <w:r>
              <w:rPr>
                <w:b w:val="0"/>
                <w:sz w:val="16"/>
              </w:rPr>
              <w:t>Identity-aware tool authorization and retrieval filters</w:t>
            </w:r>
          </w:p>
        </w:tc>
      </w:tr>
      <w:tr>
        <w:tc>
          <w:tcPr>
            <w:tcW w:type="dxa" w:w="2592"/>
            <w:vAlign w:val="center"/>
            <w:shd w:fill="F7F9FC"/>
          </w:tcPr>
          <w:p>
            <w:r/>
            <w:r>
              <w:rPr>
                <w:b w:val="0"/>
                <w:sz w:val="16"/>
              </w:rPr>
              <w:t>Hallucination</w:t>
            </w:r>
          </w:p>
        </w:tc>
        <w:tc>
          <w:tcPr>
            <w:tcW w:type="dxa" w:w="6912"/>
            <w:vAlign w:val="center"/>
            <w:shd w:fill="F7F9FC"/>
          </w:tcPr>
          <w:p>
            <w:r/>
            <w:r>
              <w:rPr>
                <w:b w:val="0"/>
                <w:sz w:val="16"/>
              </w:rPr>
              <w:t>Grounding checks and source-backed responses</w:t>
            </w:r>
          </w:p>
        </w:tc>
      </w:tr>
      <w:tr>
        <w:tc>
          <w:tcPr>
            <w:tcW w:type="dxa" w:w="2592"/>
            <w:vAlign w:val="center"/>
          </w:tcPr>
          <w:p>
            <w:r/>
            <w:r>
              <w:rPr>
                <w:b w:val="0"/>
                <w:sz w:val="16"/>
              </w:rPr>
              <w:t>Data exfiltration</w:t>
            </w:r>
          </w:p>
        </w:tc>
        <w:tc>
          <w:tcPr>
            <w:tcW w:type="dxa" w:w="6912"/>
            <w:vAlign w:val="center"/>
          </w:tcPr>
          <w:p>
            <w:r/>
            <w:r>
              <w:rPr>
                <w:b w:val="0"/>
                <w:sz w:val="16"/>
              </w:rPr>
              <w:t>Tool scopes and result-size controls</w:t>
            </w:r>
          </w:p>
        </w:tc>
      </w:tr>
      <w:tr>
        <w:tc>
          <w:tcPr>
            <w:tcW w:type="dxa" w:w="2592"/>
            <w:vAlign w:val="center"/>
            <w:shd w:fill="F7F9FC"/>
          </w:tcPr>
          <w:p>
            <w:r/>
            <w:r>
              <w:rPr>
                <w:b w:val="0"/>
                <w:sz w:val="16"/>
              </w:rPr>
              <w:t>Prompt/system disclosure</w:t>
            </w:r>
          </w:p>
        </w:tc>
        <w:tc>
          <w:tcPr>
            <w:tcW w:type="dxa" w:w="6912"/>
            <w:vAlign w:val="center"/>
            <w:shd w:fill="F7F9FC"/>
          </w:tcPr>
          <w:p>
            <w:r/>
            <w:r>
              <w:rPr>
                <w:b w:val="0"/>
                <w:sz w:val="16"/>
              </w:rPr>
              <w:t>Protected system instructions and refusal policy</w:t>
            </w:r>
          </w:p>
        </w:tc>
      </w:tr>
      <w:tr>
        <w:tc>
          <w:tcPr>
            <w:tcW w:type="dxa" w:w="2592"/>
            <w:vAlign w:val="center"/>
          </w:tcPr>
          <w:p>
            <w:r/>
            <w:r>
              <w:rPr>
                <w:b w:val="0"/>
                <w:sz w:val="16"/>
              </w:rPr>
              <w:t>Auditability</w:t>
            </w:r>
          </w:p>
        </w:tc>
        <w:tc>
          <w:tcPr>
            <w:tcW w:type="dxa" w:w="6912"/>
            <w:vAlign w:val="center"/>
          </w:tcPr>
          <w:p>
            <w:r/>
            <w:r>
              <w:rPr>
                <w:b w:val="0"/>
                <w:sz w:val="16"/>
              </w:rPr>
              <w:t>Trace intent, tool calls, query, retrieved context and response</w:t>
            </w:r>
          </w:p>
        </w:tc>
      </w:tr>
    </w:tbl>
    <w:p/>
    <w:p>
      <w:pPr>
        <w:pStyle w:val="Heading1"/>
      </w:pPr>
      <w:r>
        <w:t>15. Proposed GitHub Repository</w:t>
      </w:r>
    </w:p>
    <w:p>
      <w:pPr>
        <w:ind w:left="288" w:right="288"/>
        <w:shd w:fill="F3F5F7"/>
      </w:pPr>
      <w:r>
        <w:rPr>
          <w:rFonts w:ascii="Consolas" w:hAnsi="Consolas"/>
          <w:color w:val="222222"/>
          <w:sz w:val="16"/>
        </w:rPr>
        <w:t>electricity-maps-enterprise-etl/</w:t>
        <w:br/>
        <w:t>├── README.md</w:t>
        <w:br/>
        <w:t>├── ARCHITECTURE.md</w:t>
        <w:br/>
        <w:t>├── REQUIREMENT_TRACEABILITY.md</w:t>
        <w:br/>
        <w:t>├── SECURITY.md</w:t>
        <w:br/>
        <w:t>├── PERFORMANCE.md</w:t>
        <w:br/>
        <w:t>├── DATA_QUALITY.md</w:t>
        <w:br/>
        <w:t>├── DATA_CONTRACTS.md</w:t>
        <w:br/>
        <w:t>├── RAG_ARCHITECTURE.md</w:t>
        <w:br/>
        <w:t>├── OPERATIONS.md</w:t>
        <w:br/>
        <w:t>├── pyproject.toml</w:t>
        <w:br/>
        <w:t>├── requirements.txt</w:t>
        <w:br/>
        <w:t>├── Makefile</w:t>
        <w:br/>
        <w:t>├── .env.example</w:t>
        <w:br/>
        <w:t>│</w:t>
        <w:br/>
        <w:t>├── config/</w:t>
        <w:br/>
        <w:t>│   ├── dev.yaml</w:t>
        <w:br/>
        <w:t>│   ├── test.yaml</w:t>
        <w:br/>
        <w:t>│   └── prod.yaml</w:t>
        <w:br/>
        <w:t>│</w:t>
        <w:br/>
        <w:t>├── src/electricity_maps/</w:t>
        <w:br/>
        <w:t>│   ├── ingestion/</w:t>
        <w:br/>
        <w:t>│   ├── bronze/</w:t>
        <w:br/>
        <w:t>│   ├── silver/</w:t>
        <w:br/>
        <w:t>│   ├── gold/</w:t>
        <w:br/>
        <w:t>│   ├── dq/</w:t>
        <w:br/>
        <w:t>│   ├── security/</w:t>
        <w:br/>
        <w:t>│   ├── optimization/</w:t>
        <w:br/>
        <w:t>│   ├── contracts/</w:t>
        <w:br/>
        <w:t>│   ├── audit/</w:t>
        <w:br/>
        <w:t>│   ├── observability/</w:t>
        <w:br/>
        <w:t>│   └── common/</w:t>
        <w:br/>
        <w:t>│</w:t>
        <w:br/>
        <w:t>├── rag/</w:t>
        <w:br/>
        <w:t>│   ├── ingestion/</w:t>
        <w:br/>
        <w:t>│   ├── chunking/</w:t>
        <w:br/>
        <w:t>│   ├── embeddings/</w:t>
        <w:br/>
        <w:t>│   ├── retrieval/</w:t>
        <w:br/>
        <w:t>│   ├── reranking/</w:t>
        <w:br/>
        <w:t>│   └── prompts/</w:t>
        <w:br/>
        <w:t>│</w:t>
        <w:br/>
        <w:t>├── orchestration/</w:t>
        <w:br/>
        <w:t>├── infrastructure/</w:t>
        <w:br/>
        <w:t>├── tests/</w:t>
        <w:br/>
        <w:t>│   ├── unit/</w:t>
        <w:br/>
        <w:t>│   ├── integration/</w:t>
        <w:br/>
        <w:t>│   ├── dq/</w:t>
        <w:br/>
        <w:t>│   ├── security/</w:t>
        <w:br/>
        <w:t>│   ├── performance/</w:t>
        <w:br/>
        <w:t>│   └── contract/</w:t>
        <w:br/>
        <w:t>├── sample_data/</w:t>
        <w:br/>
        <w:t>└── .github/workflows/</w:t>
      </w:r>
    </w:p>
    <w:p>
      <w:pPr>
        <w:pStyle w:val="Heading1"/>
      </w:pPr>
      <w:r>
        <w:t>16. End-to-End Execution Model</w:t>
      </w:r>
    </w:p>
    <w:p>
      <w:pPr>
        <w:ind w:left="288" w:right="288"/>
        <w:shd w:fill="F3F5F7"/>
      </w:pPr>
      <w:r>
        <w:rPr>
          <w:rFonts w:ascii="Consolas" w:hAnsi="Consolas"/>
          <w:color w:val="222222"/>
          <w:sz w:val="16"/>
        </w:rPr>
        <w:t># Install</w:t>
        <w:br/>
        <w:t>python -m venv .venv</w:t>
        <w:br/>
        <w:t>source .venv/bin/activate</w:t>
        <w:br/>
        <w:t>pip install -r requirements.txt</w:t>
        <w:br/>
        <w:br/>
        <w:t># Configure</w:t>
        <w:br/>
        <w:t>cp .env.example .env</w:t>
        <w:br/>
        <w:br/>
        <w:t># Run ingestion + transformations</w:t>
        <w:br/>
        <w:t>python -m electricity_maps.main --config config/dev.yaml</w:t>
        <w:br/>
        <w:br/>
        <w:t># Run tests</w:t>
        <w:br/>
        <w:t>pytest -q</w:t>
        <w:br/>
        <w:br/>
        <w:t># Run data-quality suite</w:t>
        <w:br/>
        <w:t>pytest tests/dq -q</w:t>
      </w:r>
    </w:p>
    <w:p>
      <w:r>
        <w:t>The production deployment can map the same framework interfaces to managed object storage, a distributed Spark runtime and an enterprise orchestration service. The core transformation logic remains independent of a specific cloud vendor.</w:t>
      </w:r>
    </w:p>
    <w:p>
      <w:pPr>
        <w:pStyle w:val="Heading1"/>
      </w:pPr>
      <w:r>
        <w:t>17. Sample Output Expectations</w:t>
      </w:r>
    </w:p>
    <w:p>
      <w:pPr>
        <w:pStyle w:val="ListBullet"/>
        <w:spacing w:after="40"/>
      </w:pPr>
      <w:r>
        <w:t>Partitioned Bronze raw files for flows and mix.</w:t>
      </w:r>
    </w:p>
    <w:p>
      <w:pPr>
        <w:pStyle w:val="ListBullet"/>
        <w:spacing w:after="40"/>
      </w:pPr>
      <w:r>
        <w:t>Silver Delta tables with Parquet data files and data-date partitions.</w:t>
      </w:r>
    </w:p>
    <w:p>
      <w:pPr>
        <w:pStyle w:val="ListBullet"/>
        <w:spacing w:after="40"/>
      </w:pPr>
      <w:r>
        <w:t>Gold Delta tables with flat schemas and Parquet outputs.</w:t>
      </w:r>
    </w:p>
    <w:p>
      <w:pPr>
        <w:pStyle w:val="ListBullet"/>
        <w:spacing w:after="40"/>
      </w:pPr>
      <w:r>
        <w:t>DQ result report showing passed/failed/warning rules.</w:t>
      </w:r>
    </w:p>
    <w:p>
      <w:pPr>
        <w:pStyle w:val="ListBullet"/>
        <w:spacing w:after="40"/>
      </w:pPr>
      <w:r>
        <w:t>Pipeline audit record.</w:t>
      </w:r>
    </w:p>
    <w:p>
      <w:pPr>
        <w:pStyle w:val="ListBullet"/>
        <w:spacing w:after="40"/>
      </w:pPr>
      <w:r>
        <w:t>Representative execution logs.</w:t>
      </w:r>
    </w:p>
    <w:p>
      <w:pPr>
        <w:pStyle w:val="ListBullet"/>
        <w:spacing w:after="40"/>
      </w:pPr>
      <w:r>
        <w:t>Architecture diagrams.</w:t>
      </w:r>
    </w:p>
    <w:p>
      <w:pPr>
        <w:pStyle w:val="ListBullet"/>
        <w:spacing w:after="40"/>
      </w:pPr>
      <w:r>
        <w:t>Unit/integration test results.</w:t>
      </w:r>
    </w:p>
    <w:p>
      <w:pPr>
        <w:pStyle w:val="Heading1"/>
      </w:pPr>
      <w:r>
        <w:t>18. Reviewer-Oriented Submission Strategy</w:t>
      </w:r>
    </w:p>
    <w:tbl>
      <w:tblPr>
        <w:tblStyle w:val="TableGrid"/>
        <w:tblW w:type="auto" w:w="0"/>
        <w:tblLook w:firstColumn="1" w:firstRow="1" w:lastColumn="0" w:lastRow="0" w:noHBand="0" w:noVBand="1" w:val="04A0"/>
      </w:tblPr>
      <w:tblGrid>
        <w:gridCol w:w="10224"/>
      </w:tblGrid>
      <w:tr>
        <w:tc>
          <w:tcPr>
            <w:tcW w:type="dxa" w:w="10224"/>
            <w:shd w:fill="DDEBF7"/>
          </w:tcPr>
          <w:p>
            <w:r/>
            <w:r>
              <w:rPr>
                <w:b/>
                <w:color w:val="2F5597"/>
                <w:sz w:val="20"/>
              </w:rPr>
              <w:t>First five minutes</w:t>
              <w:br/>
            </w:r>
            <w:r>
              <w:rPr>
                <w:sz w:val="18"/>
              </w:rPr>
              <w:t>The reviewer should be able to open README.md, understand the architecture, see the requirement traceability matrix, run the pipeline, and locate Bronze/Silver/Gold outputs without navigating unnecessary infrastructure.</w:t>
            </w:r>
          </w:p>
        </w:tc>
      </w:tr>
    </w:tbl>
    <w:p/>
    <w:p>
      <w:pPr>
        <w:pStyle w:val="ListBullet"/>
        <w:spacing w:after="40"/>
      </w:pPr>
      <w:r>
        <w:t>Mandatory requirements are visibly mapped to implementation.</w:t>
      </w:r>
    </w:p>
    <w:p>
      <w:pPr>
        <w:pStyle w:val="ListBullet"/>
        <w:spacing w:after="40"/>
      </w:pPr>
      <w:r>
        <w:t>Enterprise features are additive and modular.</w:t>
      </w:r>
    </w:p>
    <w:p>
      <w:pPr>
        <w:pStyle w:val="ListBullet"/>
        <w:spacing w:after="40"/>
      </w:pPr>
      <w:r>
        <w:t>The code is runnable without requiring Databricks or Snowflake.</w:t>
      </w:r>
    </w:p>
    <w:p>
      <w:pPr>
        <w:pStyle w:val="ListBullet"/>
        <w:spacing w:after="40"/>
      </w:pPr>
      <w:r>
        <w:t>Cloud deployment is an extension, not a hidden prerequisite.</w:t>
      </w:r>
    </w:p>
    <w:p>
      <w:pPr>
        <w:pStyle w:val="ListBullet"/>
        <w:spacing w:after="40"/>
      </w:pPr>
      <w:r>
        <w:t>AI architecture is sophisticated but does not overclaim a production frontend or trained model.</w:t>
      </w:r>
    </w:p>
    <w:p>
      <w:pPr>
        <w:pStyle w:val="ListBullet"/>
        <w:spacing w:after="40"/>
      </w:pPr>
      <w:r>
        <w:t>Security and PII are framework capabilities without fabricating PII in the Electricity Maps dataset.</w:t>
      </w:r>
    </w:p>
    <w:p>
      <w:pPr>
        <w:pStyle w:val="ListBullet"/>
        <w:spacing w:after="40"/>
      </w:pPr>
      <w:r>
        <w:t>Performance claims are supported by measurable optimization and telemetry rather than arbitrary cluster-size claims.</w:t>
      </w:r>
    </w:p>
    <w:p>
      <w:pPr>
        <w:pStyle w:val="Heading1"/>
      </w:pPr>
      <w:r>
        <w:t>19. Key Architectural Decisions and Rationale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b/>
                <w:color w:val="FFFFFF"/>
                <w:sz w:val="17"/>
              </w:rPr>
              <w:t>Decision</w:t>
            </w:r>
          </w:p>
        </w:tc>
        <w:tc>
          <w:tcPr>
            <w:tcW w:type="dxa" w:w="6624"/>
            <w:vAlign w:val="center"/>
            <w:shd w:fill="17365D"/>
          </w:tcPr>
          <w:p>
            <w:r/>
            <w:r>
              <w:rPr>
                <w:b/>
                <w:color w:val="FFFFFF"/>
                <w:sz w:val="17"/>
              </w:rPr>
              <w:t>Rationale</w:t>
            </w:r>
          </w:p>
        </w:tc>
      </w:tr>
      <w:tr>
        <w:tc>
          <w:tcPr>
            <w:tcW w:type="dxa" w:w="2880"/>
            <w:vAlign w:val="center"/>
            <w:shd w:fill="F7F9FC"/>
          </w:tcPr>
          <w:p>
            <w:r/>
            <w:r>
              <w:rPr>
                <w:b w:val="0"/>
                <w:sz w:val="16"/>
              </w:rPr>
              <w:t>PySpark</w:t>
            </w:r>
          </w:p>
        </w:tc>
        <w:tc>
          <w:tcPr>
            <w:tcW w:type="dxa" w:w="6624"/>
            <w:vAlign w:val="center"/>
            <w:shd w:fill="F7F9FC"/>
          </w:tcPr>
          <w:p>
            <w:r/>
            <w:r>
              <w:rPr>
                <w:b w:val="0"/>
                <w:sz w:val="16"/>
              </w:rPr>
              <w:t>Explicitly permitted by the assignment and provides distributed processing and reusable ETL patterns.</w:t>
            </w:r>
          </w:p>
        </w:tc>
      </w:tr>
      <w:tr>
        <w:tc>
          <w:tcPr>
            <w:tcW w:type="dxa" w:w="2880"/>
            <w:vAlign w:val="center"/>
          </w:tcPr>
          <w:p>
            <w:r/>
            <w:r>
              <w:rPr>
                <w:b w:val="0"/>
                <w:sz w:val="16"/>
              </w:rPr>
              <w:t>Delta Lake</w:t>
            </w:r>
          </w:p>
        </w:tc>
        <w:tc>
          <w:tcPr>
            <w:tcW w:type="dxa" w:w="6624"/>
            <w:vAlign w:val="center"/>
          </w:tcPr>
          <w:p>
            <w:r/>
            <w:r>
              <w:rPr>
                <w:b w:val="0"/>
                <w:sz w:val="16"/>
              </w:rPr>
              <w:t>Required for Silver/Gold and provides transactional table semantics for reliable data products.</w:t>
            </w:r>
          </w:p>
        </w:tc>
      </w:tr>
      <w:tr>
        <w:tc>
          <w:tcPr>
            <w:tcW w:type="dxa" w:w="2880"/>
            <w:vAlign w:val="center"/>
            <w:shd w:fill="F7F9FC"/>
          </w:tcPr>
          <w:p>
            <w:r/>
            <w:r>
              <w:rPr>
                <w:b w:val="0"/>
                <w:sz w:val="16"/>
              </w:rPr>
              <w:t>Parquet</w:t>
            </w:r>
          </w:p>
        </w:tc>
        <w:tc>
          <w:tcPr>
            <w:tcW w:type="dxa" w:w="6624"/>
            <w:vAlign w:val="center"/>
            <w:shd w:fill="F7F9FC"/>
          </w:tcPr>
          <w:p>
            <w:r/>
            <w:r>
              <w:rPr>
                <w:b w:val="0"/>
                <w:sz w:val="16"/>
              </w:rPr>
              <w:t>Required output format and efficient columnar storage.</w:t>
            </w:r>
          </w:p>
        </w:tc>
      </w:tr>
      <w:tr>
        <w:tc>
          <w:tcPr>
            <w:tcW w:type="dxa" w:w="2880"/>
            <w:vAlign w:val="center"/>
          </w:tcPr>
          <w:p>
            <w:r/>
            <w:r>
              <w:rPr>
                <w:b w:val="0"/>
                <w:sz w:val="16"/>
              </w:rPr>
              <w:t>No mandatory Databricks/Snowflake</w:t>
            </w:r>
          </w:p>
        </w:tc>
        <w:tc>
          <w:tcPr>
            <w:tcW w:type="dxa" w:w="6624"/>
            <w:vAlign w:val="center"/>
          </w:tcPr>
          <w:p>
            <w:r/>
            <w:r>
              <w:rPr>
                <w:b w:val="0"/>
                <w:sz w:val="16"/>
              </w:rPr>
              <w:t>Neither platform is specified; avoiding a hard dependency maximizes assignment compliance and portability.</w:t>
            </w:r>
          </w:p>
        </w:tc>
      </w:tr>
      <w:tr>
        <w:tc>
          <w:tcPr>
            <w:tcW w:type="dxa" w:w="2880"/>
            <w:vAlign w:val="center"/>
            <w:shd w:fill="F7F9FC"/>
          </w:tcPr>
          <w:p>
            <w:r/>
            <w:r>
              <w:rPr>
                <w:b w:val="0"/>
                <w:sz w:val="16"/>
              </w:rPr>
              <w:t>Bronze raw</w:t>
            </w:r>
          </w:p>
        </w:tc>
        <w:tc>
          <w:tcPr>
            <w:tcW w:type="dxa" w:w="6624"/>
            <w:vAlign w:val="center"/>
            <w:shd w:fill="F7F9FC"/>
          </w:tcPr>
          <w:p>
            <w:r/>
            <w:r>
              <w:rPr>
                <w:b w:val="0"/>
                <w:sz w:val="16"/>
              </w:rPr>
              <w:t>Preserves source fidelity and enables replay/debugging.</w:t>
            </w:r>
          </w:p>
        </w:tc>
      </w:tr>
      <w:tr>
        <w:tc>
          <w:tcPr>
            <w:tcW w:type="dxa" w:w="2880"/>
            <w:vAlign w:val="center"/>
          </w:tcPr>
          <w:p>
            <w:r/>
            <w:r>
              <w:rPr>
                <w:b w:val="0"/>
                <w:sz w:val="16"/>
              </w:rPr>
              <w:t>Metadata-driven framework</w:t>
            </w:r>
          </w:p>
        </w:tc>
        <w:tc>
          <w:tcPr>
            <w:tcW w:type="dxa" w:w="6624"/>
            <w:vAlign w:val="center"/>
          </w:tcPr>
          <w:p>
            <w:r/>
            <w:r>
              <w:rPr>
                <w:b w:val="0"/>
                <w:sz w:val="16"/>
              </w:rPr>
              <w:t>Makes the solution reusable beyond a single dataset.</w:t>
            </w:r>
          </w:p>
        </w:tc>
      </w:tr>
      <w:tr>
        <w:tc>
          <w:tcPr>
            <w:tcW w:type="dxa" w:w="2880"/>
            <w:vAlign w:val="center"/>
            <w:shd w:fill="F7F9FC"/>
          </w:tcPr>
          <w:p>
            <w:r/>
            <w:r>
              <w:rPr>
                <w:b w:val="0"/>
                <w:sz w:val="16"/>
              </w:rPr>
              <w:t>Domain-specific DQ</w:t>
            </w:r>
          </w:p>
        </w:tc>
        <w:tc>
          <w:tcPr>
            <w:tcW w:type="dxa" w:w="6624"/>
            <w:vAlign w:val="center"/>
            <w:shd w:fill="F7F9FC"/>
          </w:tcPr>
          <w:p>
            <w:r/>
            <w:r>
              <w:rPr>
                <w:b w:val="0"/>
                <w:sz w:val="16"/>
              </w:rPr>
              <w:t>Detects semantic failures generic null/schema checks cannot catch.</w:t>
            </w:r>
          </w:p>
        </w:tc>
      </w:tr>
      <w:tr>
        <w:tc>
          <w:tcPr>
            <w:tcW w:type="dxa" w:w="2880"/>
            <w:vAlign w:val="center"/>
          </w:tcPr>
          <w:p>
            <w:r/>
            <w:r>
              <w:rPr>
                <w:b w:val="0"/>
                <w:sz w:val="16"/>
              </w:rPr>
              <w:t>Incremental/idempotent design</w:t>
            </w:r>
          </w:p>
        </w:tc>
        <w:tc>
          <w:tcPr>
            <w:tcW w:type="dxa" w:w="6624"/>
            <w:vAlign w:val="center"/>
          </w:tcPr>
          <w:p>
            <w:r/>
            <w:r>
              <w:rPr>
                <w:b w:val="0"/>
                <w:sz w:val="16"/>
              </w:rPr>
              <w:t>Reduces runtime, cost and duplicate risk.</w:t>
            </w:r>
          </w:p>
        </w:tc>
      </w:tr>
      <w:tr>
        <w:tc>
          <w:tcPr>
            <w:tcW w:type="dxa" w:w="2880"/>
            <w:vAlign w:val="center"/>
            <w:shd w:fill="F7F9FC"/>
          </w:tcPr>
          <w:p>
            <w:r/>
            <w:r>
              <w:rPr>
                <w:b w:val="0"/>
                <w:sz w:val="16"/>
              </w:rPr>
              <w:t>SQL + RAG tools</w:t>
            </w:r>
          </w:p>
        </w:tc>
        <w:tc>
          <w:tcPr>
            <w:tcW w:type="dxa" w:w="6624"/>
            <w:vAlign w:val="center"/>
            <w:shd w:fill="F7F9FC"/>
          </w:tcPr>
          <w:p>
            <w:r/>
            <w:r>
              <w:rPr>
                <w:b w:val="0"/>
                <w:sz w:val="16"/>
              </w:rPr>
              <w:t>Separates deterministic numerical analytics from documentation retrieval.</w:t>
            </w:r>
          </w:p>
        </w:tc>
      </w:tr>
      <w:tr>
        <w:tc>
          <w:tcPr>
            <w:tcW w:type="dxa" w:w="2880"/>
            <w:vAlign w:val="center"/>
          </w:tcPr>
          <w:p>
            <w:r/>
            <w:r>
              <w:rPr>
                <w:b w:val="0"/>
                <w:sz w:val="16"/>
              </w:rPr>
              <w:t>Security-by-design</w:t>
            </w:r>
          </w:p>
        </w:tc>
        <w:tc>
          <w:tcPr>
            <w:tcW w:type="dxa" w:w="6624"/>
            <w:vAlign w:val="center"/>
          </w:tcPr>
          <w:p>
            <w:r/>
            <w:r>
              <w:rPr>
                <w:b w:val="0"/>
                <w:sz w:val="16"/>
              </w:rPr>
              <w:t>Prevents sensitive-data and AI access risks from becoming downstream fixes.</w:t>
            </w:r>
          </w:p>
        </w:tc>
      </w:tr>
    </w:tbl>
    <w:p/>
    <w:p>
      <w:pPr>
        <w:pStyle w:val="Heading1"/>
      </w:pPr>
      <w:r>
        <w:t>20. Conclusion</w:t>
      </w:r>
    </w:p>
    <w:p>
      <w:r>
        <w:t>The proposed solution is intentionally balanced: it follows the NXP assignment exactly where requirements are explicit, while demonstrating how the implementation can evolve into a reusable enterprise Data &amp; AI platform. The core engineering capability is a robust PySpark Bronze/Silver/Gold pipeline with Delta Lake and Parquet. Around it sit advanced capabilities for reliability, performance, quality, security, governance, operations and AI.</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548235"/>
                <w:sz w:val="20"/>
              </w:rPr>
              <w:t>Final architectural statement</w:t>
              <w:br/>
            </w:r>
            <w:r>
              <w:rPr>
                <w:sz w:val="18"/>
              </w:rPr>
              <w:t>The lakehouse is the system of record; Gold is the business data contract; DQ and security are enforced before AI consumption; the Data Agent uses constrained tools; RAG supplies authorized domain context; and the LLM provides the natural-language experience.</w:t>
            </w:r>
          </w:p>
        </w:tc>
      </w:tr>
    </w:tbl>
    <w:p/>
    <w:p>
      <w:r>
        <w:br w:type="page"/>
      </w:r>
    </w:p>
    <w:p>
      <w:pPr>
        <w:pStyle w:val="Heading1"/>
      </w:pPr>
      <w:r>
        <w:t>Appendix A — Diagram Package</w:t>
      </w:r>
    </w:p>
    <w:p>
      <w:r>
        <w:t>Five enterprise architecture diagrams are included in the companion package in both PNG and SVG formats. The SVG files are vector graphics suitable for import into Visio or draw.io for further editing and branding.</w:t>
      </w:r>
    </w:p>
    <w:p>
      <w:pPr>
        <w:pStyle w:val="ListBullet"/>
      </w:pPr>
      <w:r>
        <w:t>01_overall.svg — End-to-End Enterprise Architecture</w:t>
      </w:r>
    </w:p>
    <w:p>
      <w:pPr>
        <w:pStyle w:val="ListBullet"/>
      </w:pPr>
      <w:r>
        <w:t>02_medallion.svg — Bronze → Silver → Gold</w:t>
      </w:r>
    </w:p>
    <w:p>
      <w:pPr>
        <w:pStyle w:val="ListBullet"/>
      </w:pPr>
      <w:r>
        <w:t>03_security.svg — Security and PII Architecture</w:t>
      </w:r>
    </w:p>
    <w:p>
      <w:pPr>
        <w:pStyle w:val="ListBullet"/>
      </w:pPr>
      <w:r>
        <w:t>04_performance.svg — PySpark Performance Engineering</w:t>
      </w:r>
    </w:p>
    <w:p>
      <w:pPr>
        <w:pStyle w:val="ListBullet"/>
      </w:pPr>
      <w:r>
        <w:t>05_ai.svg — AI Data Agent and RAG Architecture</w:t>
      </w:r>
    </w:p>
    <w:p>
      <w:pPr>
        <w:pStyle w:val="Heading1"/>
      </w:pPr>
      <w:r>
        <w:t>Appendix B — Scope Boundary</w:t>
      </w:r>
    </w:p>
    <w:p>
      <w:r>
        <w:t>The NXP assignment explicitly states that the chatbot portion is design-focused and that a production-ready frontend, full chatbot implementation and LLM training are not required. Accordingly, this document provides a production-grade target architecture and control model without pretending that an unrequested full conversational application has been implemented.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Enterprise ETL &amp; AI Architecture | Confidential Candidate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NXP Semiconductors — Senior Principal Data &amp; AI Engineer | Electricity Maps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482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