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937"/>
          <w:sz w:val="40"/>
          <w:szCs w:val="40"/>
        </w:rPr>
        <w:t xml:space="preserve">Customer Purchasing Behavior &amp; Sales Performance</w:t>
      </w:r>
    </w:p>
    <w:p>
      <w:pPr>
        <w:spacing w:after="300"/>
      </w:pPr>
      <w:r>
        <w:rPr>
          <w:i/>
          <w:iCs/>
          <w:color w:val="6B7280"/>
          <w:sz w:val="24"/>
          <w:szCs w:val="24"/>
        </w:rPr>
        <w:t xml:space="preserve">Stakeholder Insight Report — Exclusive E-Commerce Analysis</w:t>
      </w:r>
    </w:p>
    <w:p>
      <w:pPr>
        <w:pStyle w:val="Heading1"/>
        <w:spacing w:after="150" w:before="300"/>
      </w:pPr>
      <w:r>
        <w:t xml:space="preserve">Executive Summary</w:t>
      </w:r>
    </w:p>
    <w:p>
      <w:pPr>
        <w:spacing w:after="120"/>
      </w:pPr>
      <w:r>
        <w:t xml:space="preserve">This report summarizes findings from an analysis of 9,586 completed transactions across 2,251 customers, generating total revenue of ₹9,19,77,565.11 at an average order value of ₹9,592.99. The analysis combines SQL-based transaction querying, Excel-based reporting automation, and Power BI dashboards to surface purchasing trends, retention behavior, and channel performance for stakeholder decision-making.</w:t>
      </w:r>
    </w:p>
    <w:p>
      <w:pPr>
        <w:pStyle w:val="Heading1"/>
        <w:spacing w:after="150" w:before="300"/>
      </w:pPr>
      <w:r>
        <w:t xml:space="preserve">Key Performance Indicators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Revenue: ₹9,19,77,565.11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Completed Orders: 9,586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Average Order Value: ₹9,592.99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Retention Rate: 67.11% (1,563 of 2,329 customers placed more than one order)</w:t>
      </w:r>
    </w:p>
    <w:p>
      <w:pPr>
        <w:pStyle w:val="Heading1"/>
        <w:spacing w:after="150" w:before="300"/>
      </w:pPr>
      <w:r>
        <w:t xml:space="preserve">Revenue by Category</w:t>
      </w:r>
    </w:p>
    <w:p>
      <w:pPr>
        <w:spacing w:after="120"/>
      </w:pPr>
      <w:r>
        <w:t xml:space="preserve">Electronics is the dominant revenue driver despite a mid-sized order count, reflecting a materially higher average order value than every other category — a signal for targeted upsell and premium-financing offers.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600"/>
            <w:shd w:fill="1F2937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200"/>
            <w:shd w:fill="1F2937" w:val="clear"/>
          </w:tcPr>
          <w:p>
            <w:r>
              <w:rPr>
                <w:b/>
                <w:bCs/>
              </w:rPr>
              <w:t xml:space="preserve">Revenue (₹)</w:t>
            </w:r>
          </w:p>
        </w:tc>
        <w:tc>
          <w:tcPr>
            <w:tcW w:type="dxa" w:w="1600"/>
            <w:shd w:fill="1F2937" w:val="clear"/>
          </w:tcPr>
          <w:p>
            <w:r>
              <w:rPr>
                <w:b/>
                <w:bCs/>
              </w:rPr>
              <w:t xml:space="preserve">Orders</w:t>
            </w:r>
          </w:p>
        </w:tc>
        <w:tc>
          <w:tcPr>
            <w:tcW w:type="dxa" w:w="2600"/>
            <w:shd w:fill="1F2937" w:val="clear"/>
          </w:tcPr>
          <w:p>
            <w:r>
              <w:rPr>
                <w:b/>
                <w:bCs/>
              </w:rPr>
              <w:t xml:space="preserve">Avg Order Value (₹)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Electronics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5,52,58,669.96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1188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46,514.03</w:t>
            </w:r>
          </w:p>
        </w:tc>
      </w:tr>
      <w:tr>
        <w:tc>
          <w:tcPr>
            <w:tcW w:type="dxa" w:w="2600"/>
            <w:shd w:fill="F3F4F6" w:val="clear"/>
          </w:tcPr>
          <w:p>
            <w:r>
              <w:rPr>
                <w:b w:val="false"/>
                <w:bCs w:val="false"/>
              </w:rPr>
              <w:t xml:space="preserve">Home &amp; Living</w:t>
            </w:r>
          </w:p>
        </w:tc>
        <w:tc>
          <w:tcPr>
            <w:tcW w:type="dxa" w:w="2200"/>
            <w:shd w:fill="F3F4F6" w:val="clear"/>
          </w:tcPr>
          <w:p>
            <w:r>
              <w:rPr>
                <w:b w:val="false"/>
                <w:bCs w:val="false"/>
              </w:rPr>
              <w:t xml:space="preserve">1,27,25,746.01</w:t>
            </w:r>
          </w:p>
        </w:tc>
        <w:tc>
          <w:tcPr>
            <w:tcW w:type="dxa" w:w="1600"/>
            <w:shd w:fill="F3F4F6" w:val="clear"/>
          </w:tcPr>
          <w:p>
            <w:r>
              <w:rPr>
                <w:b w:val="false"/>
                <w:bCs w:val="false"/>
              </w:rPr>
              <w:t xml:space="preserve">1212</w:t>
            </w:r>
          </w:p>
        </w:tc>
        <w:tc>
          <w:tcPr>
            <w:tcW w:type="dxa" w:w="2600"/>
            <w:shd w:fill="F3F4F6" w:val="clear"/>
          </w:tcPr>
          <w:p>
            <w:r>
              <w:rPr>
                <w:b w:val="false"/>
                <w:bCs w:val="false"/>
              </w:rPr>
              <w:t xml:space="preserve">10,499.79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Sports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96,81,317.21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1137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8,514.79</w:t>
            </w:r>
          </w:p>
        </w:tc>
      </w:tr>
      <w:tr>
        <w:tc>
          <w:tcPr>
            <w:tcW w:type="dxa" w:w="2600"/>
            <w:shd w:fill="F3F4F6" w:val="clear"/>
          </w:tcPr>
          <w:p>
            <w:r>
              <w:rPr>
                <w:b w:val="false"/>
                <w:bCs w:val="false"/>
              </w:rPr>
              <w:t xml:space="preserve">Fashion</w:t>
            </w:r>
          </w:p>
        </w:tc>
        <w:tc>
          <w:tcPr>
            <w:tcW w:type="dxa" w:w="2200"/>
            <w:shd w:fill="F3F4F6" w:val="clear"/>
          </w:tcPr>
          <w:p>
            <w:r>
              <w:rPr>
                <w:b w:val="false"/>
                <w:bCs w:val="false"/>
              </w:rPr>
              <w:t xml:space="preserve">47,31,135.15</w:t>
            </w:r>
          </w:p>
        </w:tc>
        <w:tc>
          <w:tcPr>
            <w:tcW w:type="dxa" w:w="1600"/>
            <w:shd w:fill="F3F4F6" w:val="clear"/>
          </w:tcPr>
          <w:p>
            <w:r>
              <w:rPr>
                <w:b w:val="false"/>
                <w:bCs w:val="false"/>
              </w:rPr>
              <w:t xml:space="preserve">1266</w:t>
            </w:r>
          </w:p>
        </w:tc>
        <w:tc>
          <w:tcPr>
            <w:tcW w:type="dxa" w:w="2600"/>
            <w:shd w:fill="F3F4F6" w:val="clear"/>
          </w:tcPr>
          <w:p>
            <w:r>
              <w:rPr>
                <w:b w:val="false"/>
                <w:bCs w:val="false"/>
              </w:rPr>
              <w:t xml:space="preserve">3,737.07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Toys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35,66,600.88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1210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2,947.6</w:t>
            </w:r>
          </w:p>
        </w:tc>
      </w:tr>
      <w:tr>
        <w:tc>
          <w:tcPr>
            <w:tcW w:type="dxa" w:w="2600"/>
            <w:shd w:fill="F3F4F6" w:val="clear"/>
          </w:tcPr>
          <w:p>
            <w:r>
              <w:rPr>
                <w:b w:val="false"/>
                <w:bCs w:val="false"/>
              </w:rPr>
              <w:t xml:space="preserve">Beauty</w:t>
            </w:r>
          </w:p>
        </w:tc>
        <w:tc>
          <w:tcPr>
            <w:tcW w:type="dxa" w:w="2200"/>
            <w:shd w:fill="F3F4F6" w:val="clear"/>
          </w:tcPr>
          <w:p>
            <w:r>
              <w:rPr>
                <w:b w:val="false"/>
                <w:bCs w:val="false"/>
              </w:rPr>
              <w:t xml:space="preserve">26,35,604.52</w:t>
            </w:r>
          </w:p>
        </w:tc>
        <w:tc>
          <w:tcPr>
            <w:tcW w:type="dxa" w:w="1600"/>
            <w:shd w:fill="F3F4F6" w:val="clear"/>
          </w:tcPr>
          <w:p>
            <w:r>
              <w:rPr>
                <w:b w:val="false"/>
                <w:bCs w:val="false"/>
              </w:rPr>
              <w:t xml:space="preserve">1190</w:t>
            </w:r>
          </w:p>
        </w:tc>
        <w:tc>
          <w:tcPr>
            <w:tcW w:type="dxa" w:w="2600"/>
            <w:shd w:fill="F3F4F6" w:val="clear"/>
          </w:tcPr>
          <w:p>
            <w:r>
              <w:rPr>
                <w:b w:val="false"/>
                <w:bCs w:val="false"/>
              </w:rPr>
              <w:t xml:space="preserve">2,214.79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Grocery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20,37,151.51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1178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1,729.33</w:t>
            </w:r>
          </w:p>
        </w:tc>
      </w:tr>
      <w:tr>
        <w:tc>
          <w:tcPr>
            <w:tcW w:type="dxa" w:w="2600"/>
            <w:shd w:fill="F3F4F6" w:val="clear"/>
          </w:tcPr>
          <w:p>
            <w:r>
              <w:rPr>
                <w:b w:val="false"/>
                <w:bCs w:val="false"/>
              </w:rPr>
              <w:t xml:space="preserve">Books</w:t>
            </w:r>
          </w:p>
        </w:tc>
        <w:tc>
          <w:tcPr>
            <w:tcW w:type="dxa" w:w="2200"/>
            <w:shd w:fill="F3F4F6" w:val="clear"/>
          </w:tcPr>
          <w:p>
            <w:r>
              <w:rPr>
                <w:b w:val="false"/>
                <w:bCs w:val="false"/>
              </w:rPr>
              <w:t xml:space="preserve">13,41,339.87</w:t>
            </w:r>
          </w:p>
        </w:tc>
        <w:tc>
          <w:tcPr>
            <w:tcW w:type="dxa" w:w="1600"/>
            <w:shd w:fill="F3F4F6" w:val="clear"/>
          </w:tcPr>
          <w:p>
            <w:r>
              <w:rPr>
                <w:b w:val="false"/>
                <w:bCs w:val="false"/>
              </w:rPr>
              <w:t xml:space="preserve">1207</w:t>
            </w:r>
          </w:p>
        </w:tc>
        <w:tc>
          <w:tcPr>
            <w:tcW w:type="dxa" w:w="2600"/>
            <w:shd w:fill="F3F4F6" w:val="clear"/>
          </w:tcPr>
          <w:p>
            <w:r>
              <w:rPr>
                <w:b w:val="false"/>
                <w:bCs w:val="false"/>
              </w:rPr>
              <w:t xml:space="preserve">1,111.3</w:t>
            </w:r>
          </w:p>
        </w:tc>
      </w:tr>
    </w:tbl>
    <w:p>
      <w:pPr>
        <w:pStyle w:val="Heading1"/>
        <w:spacing w:after="150" w:before="300"/>
      </w:pPr>
      <w:r>
        <w:t xml:space="preserve">Order Fulfilment Health</w:t>
      </w:r>
    </w:p>
    <w:p>
      <w:pPr>
        <w:spacing w:after="120"/>
      </w:pPr>
      <w:r>
        <w:t xml:space="preserve">Cancellations and returns together account for a meaningful share of order volume; tightening checkout validation and post-purchase communication on the categories most affected is a near-term opportunity.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2937" w:val="clear"/>
          </w:tcPr>
          <w:p>
            <w:r>
              <w:rPr>
                <w:b/>
                <w:bCs/>
              </w:rPr>
              <w:t xml:space="preserve">Order Status</w:t>
            </w:r>
          </w:p>
        </w:tc>
        <w:tc>
          <w:tcPr>
            <w:tcW w:type="dxa" w:w="3000"/>
            <w:shd w:fill="1F2937" w:val="clear"/>
          </w:tcPr>
          <w:p>
            <w:r>
              <w:rPr>
                <w:b/>
                <w:bCs/>
              </w:rPr>
              <w:t xml:space="preserve">Orders</w:t>
            </w:r>
          </w:p>
        </w:tc>
        <w:tc>
          <w:tcPr>
            <w:tcW w:type="dxa" w:w="3000"/>
            <w:shd w:fill="1F2937" w:val="clear"/>
          </w:tcPr>
          <w:p>
            <w:r>
              <w:rPr>
                <w:b/>
                <w:bCs/>
              </w:rPr>
              <w:t xml:space="preserve">% of Total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Delivered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9071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86.37%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b w:val="false"/>
                <w:bCs w:val="false"/>
              </w:rPr>
              <w:t xml:space="preserve">Cancelled</w:t>
            </w:r>
          </w:p>
        </w:tc>
        <w:tc>
          <w:tcPr>
            <w:tcW w:type="dxa" w:w="3000"/>
            <w:shd w:fill="F3F4F6" w:val="clear"/>
          </w:tcPr>
          <w:p>
            <w:r>
              <w:rPr>
                <w:b w:val="false"/>
                <w:bCs w:val="false"/>
              </w:rPr>
              <w:t xml:space="preserve">914</w:t>
            </w:r>
          </w:p>
        </w:tc>
        <w:tc>
          <w:tcPr>
            <w:tcW w:type="dxa" w:w="3000"/>
            <w:shd w:fill="F3F4F6" w:val="clear"/>
          </w:tcPr>
          <w:p>
            <w:r>
              <w:rPr>
                <w:b w:val="false"/>
                <w:bCs w:val="false"/>
              </w:rPr>
              <w:t xml:space="preserve">8.7%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Returned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517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4.92%</w:t>
            </w:r>
          </w:p>
        </w:tc>
      </w:tr>
    </w:tbl>
    <w:p>
      <w:pPr>
        <w:pStyle w:val="Heading1"/>
        <w:spacing w:after="150" w:before="300"/>
      </w:pPr>
      <w: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Prioritize retention campaigns for one-time buyers in the 25–34 age band, the largest revenue-contributing segment, to compound existing loyalty gains.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Expand premium Electronics offerings and financing options given its outsized average order value.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Investigate cancellation drivers by category and payment method to reduce the 8.7% cancellation rate.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Continue automated monthly reporting (Excel pivot workflows) to track these KPIs against future targets without manual rebuilding.</w:t>
      </w:r>
    </w:p>
    <w:p>
      <w:pPr>
        <w:pStyle w:val="Heading1"/>
        <w:spacing w:after="150" w:before="300"/>
      </w:pPr>
      <w:r>
        <w:t xml:space="preserve">Methodology</w:t>
      </w:r>
    </w:p>
    <w:p>
      <w:pPr>
        <w:spacing w:after="120"/>
      </w:pPr>
      <w:r>
        <w:t xml:space="preserve">10,500+ raw transaction records were cleaned and standardized in Python/Excel (deduplication, category/city/payment-method normalization, currency and date parsing), queried using SQL for trend and retention analysis, and visualized in Power BI and Excel dashboards for stakeholder presentation.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Prepared by Debasish Panda  |  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6B7280"/>
        <w:sz w:val="16"/>
        <w:szCs w:val="16"/>
      </w:rPr>
      <w:t xml:space="preserve">EXCLUSIVE — E-COMMERCE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2026-07-30T09:12:01.444Z</dcterms:created>
  <dcterms:modified xsi:type="dcterms:W3CDTF">2026-07-30T09:12:01.444Z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