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PeopleIQ</w:t>
      </w:r>
    </w:p>
    <w:p>
      <w:pPr>
        <w:spacing w:after="80" w:before="0"/>
      </w:pPr>
      <w:r>
        <w:rPr>
          <w:rFonts w:ascii="Arial" w:cs="Arial" w:eastAsia="Arial" w:hAnsi="Arial"/>
          <w:color w:val="4B2D8A"/>
          <w:sz w:val="32"/>
          <w:szCs w:val="32"/>
        </w:rPr>
        <w:t xml:space="preserve">Phase 3 — Change Log &amp; Industry Standards Reference</w:t>
      </w:r>
    </w:p>
    <w:p>
      <w:pPr>
        <w:spacing w:after="400" w:before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Workforce Intelligence Platform  ·  Technology Partners  ·  June 4,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Project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PeopleIQ — Natural Language HR Analytics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Builder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Debdatta Gupta, Analytics Engineer, TPI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A"/>
                <w:sz w:val="18"/>
                <w:szCs w:val="18"/>
              </w:rPr>
              <w:t xml:space="preserve">Director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Jake Gower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4B2D8A"/>
                <w:sz w:val="18"/>
                <w:szCs w:val="18"/>
              </w:rPr>
              <w:t xml:space="preserve">Phase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— Live Data Connector &amp; Industry Standards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Purpose of This Document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tracks every change made to PeopleIQ during Phase 3 development, the industry standard that motivated each change, and what remains open. It serves as a reference for handoff, director review, and future client deployments.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PeopleIQ is designed as a reusable schema — one canonical star schema deployed fresh per client. The standards applied here ensure any CHRO or HR executive receives analytics consistent with how compensation and workforce data are measured industry-wide.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Changes Made This Session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B2D8A"/>
          <w:sz w:val="26"/>
          <w:szCs w:val="26"/>
        </w:rPr>
        <w:t xml:space="preserve">2.1  Date Spine Extended to Current Date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synthetic data generator was hardcoded to end on 2025-12-31. All date constants and SQL prompt references have been updated to the actual current date.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SPINE_END = 2025-12-31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SPINE_END = 2026-06-04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"this year" →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"this year" →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"this quarter" → Q4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"this quarter" → Q2 2026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Files changed: generate_data.py, backend/main.py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B2D8A"/>
          <w:sz w:val="26"/>
          <w:szCs w:val="26"/>
        </w:rPr>
        <w:t xml:space="preserve">2.2  New Table: fact_compensation (903 rows)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new fact table was added to support Jake's feedback on pay history and peer compensation comparison. All data is synthetic.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compensation_id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record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person_id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Links to dim_person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position_id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Role at time of comp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Effective date in dim_date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effective_date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 date of the compensation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base_amount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Annual salary or hourly/contract 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compensation_type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Salary | Hourly | Contract 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change_reason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Hire | Annual Review | Merit Increase | Market Adjustment | Promotion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change_pct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% change from previous record (NULL on hire)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is_current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= latest record for active employees only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Synthetic ranges: ICs $44K–$92K salary, VPs $155K–$230K. Contractors get hourly rates. Zero FK violations.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B2D8A"/>
          <w:sz w:val="26"/>
          <w:szCs w:val="26"/>
        </w:rPr>
        <w:t xml:space="preserve">2.3  Employment Type — Industry Standard Taxonomy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Previous labels (Full-Time, Part-Time, Contractor) were informal and did not map to legal worker classification standards. Updated to FLSA / IRS taxonomy used by HR and legal teams.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Label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Split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Legal 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Full-Time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W2 Salaried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65%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FLSA exempt salaried employee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Part-Time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W2 Hourly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FLSA non-exempt hourly employee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Contingent (1099)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IRS independent contractor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Agency/Leased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Staffing agency / leased worker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Source: FLSA (Fair Labor Standards Act), IRS Publication 15-A, SHRM worker classification guide.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B2D8A"/>
          <w:sz w:val="26"/>
          <w:szCs w:val="26"/>
        </w:rPr>
        <w:t xml:space="preserve">2.4  Promotion Flag — Dual-Condition Logic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promotion_flag column was added to fact_position_assignment. The industry-standard definition (Workday, SAP SuccessFactors, SHRM) requires that the job level increases in the hierarchy.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Promotion (flag=1)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Job level moves up the hierarchy: IC → Manager → Senior Manager → Director → VP → C-Suite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Reclassification (flag=0)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Title changes but job level stays the same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Lateral Transfer (flag=0)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Role changes to a different function at the same level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Result: 13 promotions across 595 assignments (2.2% rate). Source: Workday HCM, SHRM Compensation Handbook.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B2D8A"/>
          <w:sz w:val="26"/>
          <w:szCs w:val="26"/>
        </w:rPr>
        <w:t xml:space="preserve">2.5  Compensation Queries — Percentile Standard (P25 / P50 / P75)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SQL prompt previously used MIN/MAX/AVG. Outliers skew min/max; avg hides the distribution shape. Every major comp benchmarking provider (Mercer, Radford, Culpepper) reports quartiles.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Approach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Approach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 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 — skewed by outliers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P25 — 25th percentile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Center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AVG — hides distribution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P50 Median — true midpoint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MAX — skewed by outliers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P75 — 75th percentile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Source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Mercer, Radford, Culpepper salary surveys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The standard CHRO question is "where does our P50 sit vs. market P50, and are we at P75 for retention-critical roles?" This is how Mercer and Radford publish salary surveys.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B2D8A"/>
          <w:sz w:val="26"/>
          <w:szCs w:val="26"/>
        </w:rPr>
        <w:t xml:space="preserve">2.6  is_current vs. Historical Query Rule (SCD Type 2 Standard)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clear rule was locked into the SQL prompt to prevent the LLM from mixing point-in-time and historical compensation queries. This follows the SCD Type 2 standard used by Workday, Visier, and all mature HR data warehouses.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is_current = 1  →  use for current state questions ('what is comp today?')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Filter by effective_date year  →  use for historical questions ('what were salaries in 2024?')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mix is_current with a year filter — they serve different analytical purposes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Open Questions (Needs Jake or Client Context)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Question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 / What's Blocked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Resume recency feature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Jake mentioned this but intent is unclear. Could be ATS candidate staleness (already in fact_recruiting_pipeline) or employee skill decay (needs new dim_skill table). Nothing built until clarified.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Rate History field format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Real TPI dataset has a Rate History column. Format (JSON, string, or rows) determines connector complexity.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Employee Id join key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Does the billing dataset share Employee Id with the employee/comp dataset? Without it, billing and people data cannot be linked.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Regrettable vs. non-regrettable attrition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Industry-standard CHRO metric. Requires a performance rating dimension not yet in the schema. Needs data sourcing decision.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3 delivery target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Demo on synthetic data to CHRO first, or connect real TPI data? Determines urgency of connector layer build.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Current Schema — 13 Tables, Zero FK Violations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Synthetic data spans 2019-01-01 to 2026-06-04. All tables load to SQLite and export as CSVs.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dim_company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Single-company per deployment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dim_date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2,712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Spine: 2019-01-01 to 2026-06-04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dim_position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job families, 6 level tiers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dim_org_unit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3-level: Division → Dept →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dim_work_location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28 cities + 2 remote pools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dim_person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W2 Salaried / W2 Hourly / Contingent (1099) / Agency/Leased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fact_position_assignment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595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NEW: promotion_flag column added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fact_employment_event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669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Hire / Transfer / Termination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fact_headcount_snapshot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5,929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Monthly snapshots per active employee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fact_requisition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75% filled / 20% open / 5% cancelled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fact_recruiting_pipeline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2,522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6-stage funnel per requisition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fact_exit_interview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75% completion rate of terminations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fact_compensation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NEW: Hire + annual reviews + promotions. P25/P50/P75 queryable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Recommended Next Steps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No Jake needed — can build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live demo at people-iq.vercel.app against updated synthetic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compensation queries (P25/P50/P75) return correct results in the chat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fact_compensation schema to the SQL system prompt in backend/main.py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README.md to document the new table and changed standards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Needs Jake / client context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Clarify resume recency feature intent before building anything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Rate History field format in the real TPI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whether Dataset 1 (billing) has Employee Id as a join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Decide: demo on synthetic data first, or connect real TPI data as Phase 3 priority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424242"/>
          <w:sz w:val="16"/>
          <w:szCs w:val="16"/>
        </w:rPr>
        <w:t xml:space="preserve">PeopleIQ  ·  Technology Partners  ·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20"/>
      <w:jc w:val="center"/>
    </w:pPr>
    <w:r>
      <w:rPr>
        <w:rFonts w:ascii="Arial" w:cs="Arial" w:eastAsia="Arial" w:hAnsi="Arial"/>
        <w:color w:val="424242"/>
        <w:sz w:val="16"/>
        <w:szCs w:val="16"/>
      </w:rPr>
      <w:t xml:space="preserve">Confidential  —  Technology Partners  |  Page </w:t>
    </w:r>
    <w:r>
      <w:rPr>
        <w:rFonts w:ascii="Arial" w:cs="Arial" w:eastAsia="Arial" w:hAnsi="Arial"/>
        <w:color w:val="42424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24242"/>
        <w:sz w:val="16"/>
        <w:szCs w:val="16"/>
      </w:rPr>
      <w:t xml:space="preserve"> of </w:t>
    </w:r>
    <w:r>
      <w:rPr>
        <w:rFonts w:ascii="Arial" w:cs="Arial" w:eastAsia="Arial" w:hAnsi="Arial"/>
        <w:color w:val="42424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PeopleIQ  |  Phase 3 Change Log &amp; Industry Standards</w:t>
    </w:r>
    <w:r>
      <w:rPr>
        <w:rFonts w:ascii="Arial" w:cs="Arial" w:eastAsia="Arial" w:hAnsi="Arial"/>
        <w:color w:val="424242"/>
        <w:sz w:val="18"/>
        <w:szCs w:val="18"/>
      </w:rPr>
      <w:t xml:space="preserve">	June 4,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2026-06-04T15:37:44.226Z</dcterms:created>
  <dcterms:modified xsi:type="dcterms:W3CDTF">2026-06-04T15:37:44.226Z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