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Resource use and health gains (per million per dose)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8"/>
        <w:gridCol w:w="761"/>
        <w:gridCol w:w="706"/>
        <w:gridCol w:w="846"/>
        <w:gridCol w:w="955"/>
        <w:gridCol w:w="1072"/>
      </w:tblGrid>
      <w:tr>
        <w:trPr>
          <w:trHeight w:val="54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MTB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TB costs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MTB costs</w:t>
            </w:r>
          </w:p>
        </w:tc>
      </w:tr>
      <w:tr>
        <w:trPr>
          <w:trHeight w:val="53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84,672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845,404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194,888</w:t>
            </w:r>
          </w:p>
        </w:tc>
      </w:tr>
      <w:tr>
        <w:trPr>
          <w:trHeight w:val="54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591,453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136,346</w:t>
            </w:r>
          </w:p>
        </w:tc>
      </w:tr>
      <w:tr>
        <w:trPr>
          <w:trHeight w:val="54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38,786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408,885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94,259</w:t>
            </w:r>
          </w:p>
        </w:tc>
      </w:tr>
      <w:tr>
        <w:trPr>
          <w:trHeight w:val="53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8,653</w:t>
            </w:r>
          </w:p>
        </w:tc>
      </w:tr>
      <w:tr>
        <w:trPr>
          <w:trHeight w:val="53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 Nam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9,437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20,187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4,654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2025-06-12T12:31:03Z</dcterms:modified>
  <cp:category/>
</cp:coreProperties>
</file>