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Cost effectiveness and 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8"/>
        <w:gridCol w:w="839"/>
        <w:gridCol w:w="1243"/>
        <w:gridCol w:w="1088"/>
        <w:gridCol w:w="644"/>
        <w:gridCol w:w="683"/>
        <w:gridCol w:w="761"/>
        <w:gridCol w:w="858"/>
        <w:gridCol w:w="889"/>
        <w:gridCol w:w="967"/>
        <w:gridCol w:w="967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Net benefit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g/(g+h)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CV=10%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CV=15%</w:t>
            </w:r>
          </w:p>
        </w:tc>
      </w:tr>
      <w:tr>
        <w:trPr>
          <w:trHeight w:val="530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38.4</w:t>
            </w:r>
          </w:p>
        </w:tc>
      </w:tr>
      <w:tr>
        <w:trPr>
          <w:trHeight w:val="530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</w:tr>
      <w:tr>
        <w:trPr>
          <w:trHeight w:val="53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44.3</w:t>
            </w:r>
          </w:p>
        </w:tc>
      </w:tr>
      <w:tr>
        <w:trPr>
          <w:trHeight w:val="541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</w:tr>
      <w:tr>
        <w:trPr>
          <w:trHeight w:val="54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</w:tr>
      <w:tr>
        <w:trPr>
          <w:trHeight w:val="54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32.3</w:t>
            </w:r>
          </w:p>
        </w:tc>
      </w:tr>
      <w:tr>
        <w:trPr>
          <w:trHeight w:val="541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34.5</w:t>
            </w:r>
          </w:p>
        </w:tc>
      </w:tr>
      <w:tr>
        <w:trPr>
          <w:trHeight w:val="541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37.3</w:t>
            </w:r>
          </w:p>
        </w:tc>
      </w:tr>
      <w:tr>
        <w:trPr>
          <w:trHeight w:val="541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40.9</w:t>
            </w:r>
          </w:p>
        </w:tc>
      </w:tr>
      <w:tr>
        <w:trPr>
          <w:trHeight w:val="529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22.1</w:t>
            </w:r>
          </w:p>
        </w:tc>
      </w:tr>
      <w:tr>
        <w:trPr>
          <w:trHeight w:val="529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</w:tr>
      <w:tr>
        <w:trPr>
          <w:trHeight w:val="529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30.6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23.6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31.8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2025-08-15T11:02:38Z</dcterms:modified>
  <cp:category/>
</cp:coreProperties>
</file>