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Cost effectiveness and optimal buffer size under different demand uncertainties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8"/>
        <w:gridCol w:w="839"/>
        <w:gridCol w:w="1243"/>
        <w:gridCol w:w="1088"/>
        <w:gridCol w:w="644"/>
        <w:gridCol w:w="683"/>
        <w:gridCol w:w="761"/>
        <w:gridCol w:w="858"/>
        <w:gridCol w:w="889"/>
        <w:gridCol w:w="967"/>
        <w:gridCol w:w="967"/>
      </w:tblGrid>
      <w:tr>
        <w:trPr>
          <w:trHeight w:val="54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GDP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WTP(%GDP)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Net benefit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g/(g+h)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CV=10%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CV=15%</w:t>
            </w:r>
          </w:p>
        </w:tc>
      </w:tr>
      <w:tr>
        <w:trPr>
          <w:trHeight w:val="530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37.9</w:t>
            </w:r>
          </w:p>
        </w:tc>
      </w:tr>
      <w:tr>
        <w:trPr>
          <w:trHeight w:val="530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40.5</w:t>
            </w:r>
          </w:p>
        </w:tc>
      </w:tr>
      <w:tr>
        <w:trPr>
          <w:trHeight w:val="530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677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43.8</w:t>
            </w:r>
          </w:p>
        </w:tc>
      </w:tr>
      <w:tr>
        <w:trPr>
          <w:trHeight w:val="541" w:hRule="auto"/>
        </w:trPr>
        body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Malaysia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11,379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22.8</w:t>
            </w:r>
          </w:p>
        </w:tc>
      </w:tr>
      <w:tr>
        <w:trPr>
          <w:trHeight w:val="541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26.3</w:t>
            </w:r>
          </w:p>
        </w:tc>
      </w:tr>
      <w:tr>
        <w:trPr>
          <w:trHeight w:val="541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30.7</w:t>
            </w:r>
          </w:p>
        </w:tc>
      </w:tr>
      <w:tr>
        <w:trPr>
          <w:trHeight w:val="541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34.4</w:t>
            </w:r>
          </w:p>
        </w:tc>
      </w:tr>
      <w:tr>
        <w:trPr>
          <w:trHeight w:val="541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37.1</w:t>
            </w:r>
          </w:p>
        </w:tc>
      </w:tr>
      <w:tr>
        <w:trPr>
          <w:trHeight w:val="541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40.7</w:t>
            </w:r>
          </w:p>
        </w:tc>
      </w:tr>
      <w:tr>
        <w:trPr>
          <w:trHeight w:val="530" w:hRule="auto"/>
        </w:trPr>
        body10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Thailand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21.1</w:t>
            </w:r>
          </w:p>
        </w:tc>
      </w:tr>
      <w:tr>
        <w:trPr>
          <w:trHeight w:val="530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24.7</w:t>
            </w:r>
          </w:p>
        </w:tc>
      </w:tr>
      <w:tr>
        <w:trPr>
          <w:trHeight w:val="530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29.3</w:t>
            </w:r>
          </w:p>
        </w:tc>
      </w:tr>
      <w:tr>
        <w:trPr>
          <w:trHeight w:val="530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Viet Nam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23.0</w:t>
            </w:r>
          </w:p>
        </w:tc>
      </w:tr>
      <w:tr>
        <w:trPr>
          <w:trHeight w:val="530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26.5</w:t>
            </w:r>
          </w:p>
        </w:tc>
      </w:tr>
      <w:tr>
        <w:trPr>
          <w:trHeight w:val="530" w:hRule="auto"/>
        </w:trPr>
        body15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30.9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2025-06-12T12:48:19Z</dcterms:modified>
  <cp:category/>
</cp:coreProperties>
</file>