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2D20F" w14:textId="650FA0BA" w:rsidR="0015784B" w:rsidRPr="00800118" w:rsidRDefault="0015784B" w:rsidP="00800118">
      <w:pPr>
        <w:ind w:left="720"/>
        <w:jc w:val="center"/>
        <w:rPr>
          <w:rFonts w:ascii="Arial" w:hAnsi="Arial" w:cs="Arial"/>
          <w:b/>
          <w:sz w:val="32"/>
          <w:szCs w:val="32"/>
        </w:rPr>
      </w:pPr>
      <w:r w:rsidRPr="00800118">
        <w:rPr>
          <w:rFonts w:ascii="Arial" w:hAnsi="Arial" w:cs="Arial"/>
          <w:b/>
          <w:sz w:val="32"/>
          <w:szCs w:val="32"/>
        </w:rPr>
        <w:t>WORKSHOP</w:t>
      </w:r>
    </w:p>
    <w:p w14:paraId="72C42ECD" w14:textId="79B674C9" w:rsidR="00800118" w:rsidRPr="00800118" w:rsidRDefault="00800118" w:rsidP="00800118">
      <w:pPr>
        <w:jc w:val="center"/>
        <w:rPr>
          <w:rFonts w:ascii="Arial" w:hAnsi="Arial" w:cs="Arial"/>
          <w:b/>
          <w:sz w:val="32"/>
          <w:szCs w:val="32"/>
        </w:rPr>
      </w:pPr>
      <w:r w:rsidRPr="00800118">
        <w:rPr>
          <w:rFonts w:ascii="Arial" w:hAnsi="Arial" w:cs="Arial"/>
          <w:b/>
          <w:sz w:val="32"/>
          <w:szCs w:val="32"/>
        </w:rPr>
        <w:t>Rechtliche Grundlagen zum Thema: Kündigung</w:t>
      </w:r>
    </w:p>
    <w:p w14:paraId="576275D5" w14:textId="2D8712C1" w:rsidR="0015784B" w:rsidRPr="00B26FC9" w:rsidRDefault="005C7A62" w:rsidP="00800118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</w:rPr>
        <w:pict w14:anchorId="5EF2ACF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148.25pt;margin-top:2.85pt;width:226.4pt;height:0;z-index:251658240;mso-position-horizontal:absolute;mso-position-vertical:absolute" o:connectortype="straight" strokecolor="#2f5496 [2404]" strokeweight="1pt"/>
        </w:pict>
      </w:r>
    </w:p>
    <w:p w14:paraId="4612D824" w14:textId="7B71EB43" w:rsidR="00800118" w:rsidRP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sz w:val="28"/>
          <w:szCs w:val="28"/>
        </w:rPr>
        <w:t>Einleitung</w:t>
      </w:r>
    </w:p>
    <w:p w14:paraId="10A538A2" w14:textId="387FEB83" w:rsidR="00B26FC9" w:rsidRPr="00B26FC9" w:rsidRDefault="00B26FC9" w:rsidP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Die Kündigung</w:t>
      </w:r>
    </w:p>
    <w:p w14:paraId="7B6C1F12" w14:textId="58B4A34B" w:rsidR="00B26FC9" w:rsidRPr="00B26FC9" w:rsidRDefault="00B26FC9" w:rsidP="00B26FC9">
      <w:pPr>
        <w:rPr>
          <w:rFonts w:ascii="Arial" w:hAnsi="Arial" w:cs="Arial"/>
          <w:sz w:val="24"/>
          <w:szCs w:val="24"/>
        </w:rPr>
      </w:pPr>
      <w:r w:rsidRPr="00B26FC9">
        <w:rPr>
          <w:rFonts w:ascii="Arial" w:hAnsi="Arial" w:cs="Arial"/>
          <w:sz w:val="24"/>
          <w:szCs w:val="24"/>
        </w:rPr>
        <w:t>Eine Kündigung kann eine einseitige oder in beidseitigem Einvernehmen abgegebene Willenserklärung sein. Unter bestimmten Gegebenheiten ist ebenso eine automatische Beendigung des Arbeitsverhältnisses möglich.</w:t>
      </w:r>
      <w:r w:rsidRPr="00B26FC9">
        <w:rPr>
          <w:rFonts w:ascii="Arial" w:hAnsi="Arial" w:cs="Arial"/>
          <w:sz w:val="24"/>
          <w:szCs w:val="24"/>
        </w:rPr>
        <w:br/>
        <w:t>Die regelnden Gesetzgebungen können Sie den jeweiligen Abschnitten entnehmen.</w:t>
      </w:r>
    </w:p>
    <w:p w14:paraId="793D254A" w14:textId="48931FDE" w:rsid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4144" behindDoc="1" locked="0" layoutInCell="1" allowOverlap="1" wp14:anchorId="64F4B8D9" wp14:editId="3C11898B">
            <wp:simplePos x="0" y="0"/>
            <wp:positionH relativeFrom="column">
              <wp:posOffset>883085</wp:posOffset>
            </wp:positionH>
            <wp:positionV relativeFrom="paragraph">
              <wp:posOffset>320675</wp:posOffset>
            </wp:positionV>
            <wp:extent cx="4665945" cy="2851029"/>
            <wp:effectExtent l="0" t="0" r="0" b="0"/>
            <wp:wrapNone/>
            <wp:docPr id="2" name="Grafik 2" descr="Ein Bild, das Diagramm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Diagramm enthält.&#10;&#10;Automatisch generierte Beschreibu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5945" cy="2851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26FC9">
        <w:rPr>
          <w:rFonts w:ascii="Arial" w:hAnsi="Arial" w:cs="Arial"/>
          <w:b/>
          <w:sz w:val="28"/>
          <w:szCs w:val="28"/>
        </w:rPr>
        <w:t>Hauptteil</w:t>
      </w:r>
    </w:p>
    <w:p w14:paraId="2611EBE8" w14:textId="10B9F25A" w:rsidR="00B26FC9" w:rsidRDefault="00B26FC9" w:rsidP="00B26FC9">
      <w:pPr>
        <w:rPr>
          <w:rFonts w:ascii="Arial" w:hAnsi="Arial" w:cs="Arial"/>
          <w:b/>
          <w:sz w:val="28"/>
          <w:szCs w:val="28"/>
        </w:rPr>
      </w:pPr>
    </w:p>
    <w:p w14:paraId="4F0662E4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560069F7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0D0AF68B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5083890A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1E77B148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4A9A1B3A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226191D6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3A124216" w14:textId="77777777" w:rsidR="00B26FC9" w:rsidRDefault="00B26FC9">
      <w:pPr>
        <w:rPr>
          <w:rFonts w:ascii="Arial" w:hAnsi="Arial" w:cs="Arial"/>
          <w:b/>
          <w:sz w:val="28"/>
          <w:szCs w:val="28"/>
        </w:rPr>
      </w:pPr>
    </w:p>
    <w:p w14:paraId="6324420E" w14:textId="5E05BD64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Automatische Beendigung</w:t>
      </w:r>
    </w:p>
    <w:p w14:paraId="139FFB55" w14:textId="77777777" w:rsidR="004E0B15" w:rsidRPr="004E0B15" w:rsidRDefault="004E0B15" w:rsidP="004E0B15">
      <w:pPr>
        <w:rPr>
          <w:rFonts w:ascii="Arial" w:hAnsi="Arial" w:cs="Arial"/>
          <w:b/>
          <w:bCs/>
          <w:color w:val="0D0D0D" w:themeColor="text1" w:themeTint="F2"/>
        </w:rPr>
      </w:pPr>
      <w:r w:rsidRPr="004E0B15">
        <w:rPr>
          <w:rFonts w:ascii="Arial" w:hAnsi="Arial" w:cs="Arial"/>
          <w:b/>
          <w:bCs/>
          <w:color w:val="0D0D0D" w:themeColor="text1" w:themeTint="F2"/>
        </w:rPr>
        <w:t>Tod des Arbeitnehmers:</w:t>
      </w:r>
    </w:p>
    <w:p w14:paraId="7B799E3A" w14:textId="289A222A" w:rsidR="004E0B15" w:rsidRPr="004E0B15" w:rsidRDefault="004E0B15" w:rsidP="004E0B15">
      <w:pPr>
        <w:pStyle w:val="Listenabsatz"/>
        <w:numPr>
          <w:ilvl w:val="0"/>
          <w:numId w:val="19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Arbeitsverhältnis endet automatisch</w:t>
      </w:r>
    </w:p>
    <w:p w14:paraId="03B819AD" w14:textId="22393672" w:rsidR="004E0B15" w:rsidRPr="004E0B15" w:rsidRDefault="004E0B15" w:rsidP="004E0B15">
      <w:pPr>
        <w:pStyle w:val="Listenabsatz"/>
        <w:numPr>
          <w:ilvl w:val="0"/>
          <w:numId w:val="19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Ansprüche von Erben können entstehen</w:t>
      </w:r>
    </w:p>
    <w:p w14:paraId="48BDA60A" w14:textId="163552EC" w:rsidR="004E0B15" w:rsidRPr="004E0B15" w:rsidRDefault="004E0B15" w:rsidP="004E0B15">
      <w:pPr>
        <w:rPr>
          <w:rFonts w:ascii="Arial" w:hAnsi="Arial" w:cs="Arial"/>
          <w:b/>
          <w:bCs/>
          <w:color w:val="0D0D0D" w:themeColor="text1" w:themeTint="F2"/>
        </w:rPr>
      </w:pPr>
      <w:r w:rsidRPr="004E0B15">
        <w:rPr>
          <w:rFonts w:ascii="Arial" w:hAnsi="Arial" w:cs="Arial"/>
          <w:b/>
          <w:bCs/>
          <w:color w:val="0D0D0D" w:themeColor="text1" w:themeTint="F2"/>
        </w:rPr>
        <w:t>Tod des Arbeitgebers:</w:t>
      </w:r>
    </w:p>
    <w:p w14:paraId="2E979D35" w14:textId="658AADEA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Unternehmen fällt weiter an die Erben</w:t>
      </w:r>
    </w:p>
    <w:p w14:paraId="0976D05A" w14:textId="16842574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bCs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>Arbeitsverhältnis bleibt weiterhin bestehen</w:t>
      </w:r>
    </w:p>
    <w:p w14:paraId="2E23B4DC" w14:textId="44450CF1" w:rsidR="004E0B15" w:rsidRPr="00A8660B" w:rsidRDefault="004E0B15" w:rsidP="00A8660B">
      <w:pPr>
        <w:rPr>
          <w:rFonts w:ascii="Arial" w:hAnsi="Arial" w:cs="Arial"/>
          <w:b/>
          <w:color w:val="0D0D0D" w:themeColor="text1" w:themeTint="F2"/>
        </w:rPr>
      </w:pPr>
      <w:r w:rsidRPr="00A8660B">
        <w:rPr>
          <w:rFonts w:ascii="Arial" w:hAnsi="Arial" w:cs="Arial"/>
          <w:b/>
          <w:color w:val="0D0D0D" w:themeColor="text1" w:themeTint="F2"/>
        </w:rPr>
        <w:t>Auslaufen eines befristeten Arbeitsvertrags:</w:t>
      </w:r>
    </w:p>
    <w:p w14:paraId="65016FD7" w14:textId="41799F0F" w:rsidR="004E0B15" w:rsidRPr="004E0B15" w:rsidRDefault="004E0B15" w:rsidP="004E0B15">
      <w:pPr>
        <w:pStyle w:val="Listenabsatz"/>
        <w:numPr>
          <w:ilvl w:val="0"/>
          <w:numId w:val="20"/>
        </w:numPr>
        <w:rPr>
          <w:rFonts w:ascii="Arial" w:hAnsi="Arial" w:cs="Arial"/>
          <w:color w:val="0D0D0D" w:themeColor="text1" w:themeTint="F2"/>
        </w:rPr>
      </w:pPr>
      <w:r w:rsidRPr="004E0B15">
        <w:rPr>
          <w:rFonts w:ascii="Arial" w:hAnsi="Arial" w:cs="Arial"/>
          <w:bCs/>
          <w:color w:val="0D0D0D" w:themeColor="text1" w:themeTint="F2"/>
        </w:rPr>
        <w:t xml:space="preserve">Automatisches Ende des Arbeitsverhältnisses nach Ablauf von vereinbartet </w:t>
      </w:r>
      <w:r w:rsidRPr="004E0B15">
        <w:rPr>
          <w:rFonts w:ascii="Arial" w:hAnsi="Arial" w:cs="Arial"/>
          <w:color w:val="0D0D0D" w:themeColor="text1" w:themeTint="F2"/>
        </w:rPr>
        <w:t>Zeit</w:t>
      </w:r>
    </w:p>
    <w:p w14:paraId="7C401E8F" w14:textId="69BE7711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 w:rsidRPr="00B26FC9">
        <w:rPr>
          <w:rFonts w:ascii="Arial" w:hAnsi="Arial" w:cs="Arial"/>
          <w:b/>
          <w:color w:val="1F3B73"/>
          <w:sz w:val="24"/>
          <w:szCs w:val="24"/>
        </w:rPr>
        <w:t>Einvernehmliche Beendigung</w:t>
      </w:r>
    </w:p>
    <w:p w14:paraId="0FEC924F" w14:textId="77777777" w:rsidR="00AD0F67" w:rsidRPr="00AD0F67" w:rsidRDefault="00AD0F67" w:rsidP="00AD0F67">
      <w:pPr>
        <w:pStyle w:val="Listenabsatz"/>
        <w:numPr>
          <w:ilvl w:val="0"/>
          <w:numId w:val="22"/>
        </w:numPr>
        <w:rPr>
          <w:rFonts w:ascii="Arial" w:hAnsi="Arial" w:cs="Arial"/>
          <w:bCs/>
          <w:color w:val="0D0D0D" w:themeColor="text1" w:themeTint="F2"/>
        </w:rPr>
      </w:pPr>
      <w:r w:rsidRPr="00AD0F67">
        <w:rPr>
          <w:rFonts w:ascii="Arial" w:hAnsi="Arial" w:cs="Arial"/>
          <w:bCs/>
          <w:color w:val="0D0D0D" w:themeColor="text1" w:themeTint="F2"/>
        </w:rPr>
        <w:t>Recht dazu das Arbeitsverhältnis mittels Auflösungsvertrag zu beenden</w:t>
      </w:r>
    </w:p>
    <w:p w14:paraId="6028BAA5" w14:textId="1465ADAE" w:rsidR="004E0B15" w:rsidRPr="00D74DAD" w:rsidRDefault="00AD0F67" w:rsidP="00D74DAD">
      <w:pPr>
        <w:pStyle w:val="Listenabsatz"/>
        <w:numPr>
          <w:ilvl w:val="0"/>
          <w:numId w:val="22"/>
        </w:numPr>
        <w:rPr>
          <w:rFonts w:ascii="Arial" w:hAnsi="Arial" w:cs="Arial"/>
          <w:bCs/>
          <w:color w:val="0D0D0D" w:themeColor="text1" w:themeTint="F2"/>
        </w:rPr>
      </w:pPr>
      <w:r w:rsidRPr="00AD0F67">
        <w:rPr>
          <w:rFonts w:ascii="Arial" w:hAnsi="Arial" w:cs="Arial"/>
          <w:bCs/>
          <w:color w:val="0D0D0D" w:themeColor="text1" w:themeTint="F2"/>
        </w:rPr>
        <w:t>Beide Parteien müssen einverstanden sein</w:t>
      </w:r>
    </w:p>
    <w:p w14:paraId="6245C810" w14:textId="77777777" w:rsidR="00D74DAD" w:rsidRDefault="00D74DAD">
      <w:pPr>
        <w:rPr>
          <w:rFonts w:ascii="Arial" w:hAnsi="Arial" w:cs="Arial"/>
          <w:b/>
          <w:color w:val="1F3B73"/>
          <w:sz w:val="24"/>
          <w:szCs w:val="24"/>
        </w:rPr>
      </w:pPr>
    </w:p>
    <w:p w14:paraId="587F2E30" w14:textId="1BC4A6F5" w:rsidR="00B26FC9" w:rsidRDefault="00B26FC9">
      <w:pPr>
        <w:rPr>
          <w:rFonts w:ascii="Arial" w:hAnsi="Arial" w:cs="Arial"/>
          <w:b/>
          <w:color w:val="1F3B73"/>
          <w:sz w:val="24"/>
          <w:szCs w:val="24"/>
        </w:rPr>
      </w:pPr>
      <w:r>
        <w:rPr>
          <w:rFonts w:ascii="Arial" w:hAnsi="Arial" w:cs="Arial"/>
          <w:b/>
          <w:color w:val="1F3B73"/>
          <w:sz w:val="24"/>
          <w:szCs w:val="24"/>
        </w:rPr>
        <w:t>Einseitige Beendigung</w:t>
      </w:r>
    </w:p>
    <w:p w14:paraId="71EF9F3B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Anfechtung:</w:t>
      </w:r>
    </w:p>
    <w:p w14:paraId="10BC8343" w14:textId="0FD73E83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Die Anfechtung macht einen Vertrag von Anfang an nichtig</w:t>
      </w:r>
    </w:p>
    <w:p w14:paraId="2B045950" w14:textId="132A8D94" w:rsidR="00B26FC9" w:rsidRP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Gründe für eine Anfechtung: Irrtum, Arglistige Täuschung, Widerrechtliche Drohung</w:t>
      </w:r>
    </w:p>
    <w:p w14:paraId="60E31FD6" w14:textId="77777777" w:rsidR="00B26FC9" w:rsidRPr="00A8660B" w:rsidRDefault="00B26FC9" w:rsidP="00A8660B">
      <w:pPr>
        <w:rPr>
          <w:rFonts w:ascii="Arial" w:hAnsi="Arial" w:cs="Arial"/>
          <w:b/>
          <w:bCs/>
        </w:rPr>
      </w:pPr>
      <w:r w:rsidRPr="00A8660B">
        <w:rPr>
          <w:rFonts w:ascii="Arial" w:hAnsi="Arial" w:cs="Arial"/>
          <w:b/>
          <w:bCs/>
        </w:rPr>
        <w:t>Regelfall / ordentliche Kündigung:</w:t>
      </w:r>
    </w:p>
    <w:p w14:paraId="71015232" w14:textId="77777777" w:rsidR="00B26FC9" w:rsidRDefault="00B26FC9" w:rsidP="00B26FC9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Für den Regelfall gelten Kündigungsfristen nach § 622 BGB</w:t>
      </w:r>
    </w:p>
    <w:p w14:paraId="47FA1818" w14:textId="77777777" w:rsidR="00EF5FA1" w:rsidRDefault="00B26FC9" w:rsidP="00EF5FA1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z.B. </w:t>
      </w:r>
      <w:r w:rsidRPr="00B26FC9">
        <w:rPr>
          <w:rFonts w:ascii="Arial" w:hAnsi="Arial" w:cs="Arial"/>
        </w:rPr>
        <w:t>Tarifverträge ermöglichen längere Friste</w:t>
      </w:r>
      <w:r w:rsidR="00EF5FA1">
        <w:rPr>
          <w:rFonts w:ascii="Arial" w:hAnsi="Arial" w:cs="Arial"/>
        </w:rPr>
        <w:t>n</w:t>
      </w:r>
    </w:p>
    <w:p w14:paraId="0C5BFBA7" w14:textId="50E4E416" w:rsidR="009D38D9" w:rsidRPr="009D38D9" w:rsidRDefault="009D38D9" w:rsidP="009D38D9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0F11A8" wp14:editId="2AA14086">
            <wp:extent cx="6169068" cy="3564926"/>
            <wp:effectExtent l="0" t="0" r="0" b="0"/>
            <wp:docPr id="6" name="Grafik 6" descr="Ein Bild, das Text,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Tisch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1939" cy="361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8026" w14:textId="1B221106" w:rsidR="00EF5FA1" w:rsidRPr="00EF5FA1" w:rsidRDefault="00EF5FA1" w:rsidP="00EF5FA1">
      <w:pPr>
        <w:rPr>
          <w:rFonts w:ascii="Arial" w:hAnsi="Arial" w:cs="Arial"/>
          <w:b/>
        </w:rPr>
      </w:pPr>
      <w:r w:rsidRPr="00EF5FA1">
        <w:rPr>
          <w:rFonts w:ascii="Arial" w:hAnsi="Arial" w:cs="Arial"/>
          <w:b/>
        </w:rPr>
        <w:t>Beachtung des Kündigungsschutzgesetzes</w:t>
      </w:r>
    </w:p>
    <w:p w14:paraId="509AE5F4" w14:textId="2BA61E4B" w:rsidR="00EF5FA1" w:rsidRP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§ 622 BGB</w:t>
      </w:r>
    </w:p>
    <w:p w14:paraId="6174ABAA" w14:textId="4FA61F7E" w:rsidR="00EF5FA1" w:rsidRP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regelt die ordentliche fristgerechte Kündigung</w:t>
      </w:r>
    </w:p>
    <w:p w14:paraId="53EA736C" w14:textId="7E453618" w:rsidR="00EF5FA1" w:rsidRDefault="00EF5FA1" w:rsidP="00EF5FA1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EF5FA1">
        <w:rPr>
          <w:rFonts w:ascii="Arial" w:hAnsi="Arial" w:cs="Arial"/>
        </w:rPr>
        <w:t>Kündigung des Arbeitsvertrages ohne besonderen Grund (Grund muss nicht angegeben werden)</w:t>
      </w:r>
    </w:p>
    <w:p w14:paraId="3745B9A3" w14:textId="424D9AF5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Unwirksame Kündigung</w:t>
      </w:r>
    </w:p>
    <w:p w14:paraId="08EF7936" w14:textId="627D3800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Voraussetzung: Kündigungsschutzgesetz findet Anwendung</w:t>
      </w:r>
    </w:p>
    <w:p w14:paraId="6609BBAC" w14:textId="6777429A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 Abs. 1 KSchG</w:t>
      </w:r>
    </w:p>
    <w:p w14:paraId="1E719206" w14:textId="541BCC2C" w:rsidR="000E4A8F" w:rsidRPr="000E4A8F" w:rsidRDefault="000E4A8F" w:rsidP="000E4A8F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Sozial ungerechtfertigte Kündigungen</w:t>
      </w:r>
    </w:p>
    <w:p w14:paraId="05FBB02C" w14:textId="77777777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Wirksame Kündigungen</w:t>
      </w:r>
    </w:p>
    <w:p w14:paraId="23A2401C" w14:textId="7FE5E018" w:rsidR="000E4A8F" w:rsidRPr="000E4A8F" w:rsidRDefault="000E4A8F" w:rsidP="000E4A8F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Sozial gerechtfertigte Kündigungen</w:t>
      </w:r>
    </w:p>
    <w:p w14:paraId="22822786" w14:textId="2A7BB246" w:rsidR="000E4A8F" w:rsidRPr="000E4A8F" w:rsidRDefault="000E4A8F" w:rsidP="000E4A8F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 Abs. 2 S. 1 KSchG</w:t>
      </w:r>
    </w:p>
    <w:p w14:paraId="390C182E" w14:textId="77777777" w:rsidR="00D74DAD" w:rsidRDefault="00D74DAD" w:rsidP="000E4A8F">
      <w:pPr>
        <w:rPr>
          <w:rFonts w:ascii="Arial" w:hAnsi="Arial" w:cs="Arial"/>
          <w:b/>
        </w:rPr>
      </w:pPr>
    </w:p>
    <w:p w14:paraId="7D126F69" w14:textId="77777777" w:rsidR="00D74DAD" w:rsidRDefault="00D74DAD" w:rsidP="000E4A8F">
      <w:pPr>
        <w:rPr>
          <w:rFonts w:ascii="Arial" w:hAnsi="Arial" w:cs="Arial"/>
          <w:b/>
        </w:rPr>
      </w:pPr>
    </w:p>
    <w:p w14:paraId="7632FFBE" w14:textId="200864DF" w:rsidR="000E4A8F" w:rsidRPr="000E4A8F" w:rsidRDefault="000E4A8F" w:rsidP="000E4A8F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lastRenderedPageBreak/>
        <w:t>Arten der Kündigung</w:t>
      </w:r>
    </w:p>
    <w:p w14:paraId="1D8A017B" w14:textId="6272435A" w:rsidR="000E4A8F" w:rsidRP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personenbedingte Kündigung</w:t>
      </w:r>
    </w:p>
    <w:p w14:paraId="52677D0F" w14:textId="04056B85" w:rsidR="000E4A8F" w:rsidRP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verhaltensbedingte Kündigung</w:t>
      </w:r>
    </w:p>
    <w:p w14:paraId="219735E6" w14:textId="493DE3AD" w:rsidR="000E4A8F" w:rsidRDefault="000E4A8F" w:rsidP="000E4A8F">
      <w:pPr>
        <w:pStyle w:val="Listenabsatz"/>
        <w:numPr>
          <w:ilvl w:val="0"/>
          <w:numId w:val="16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betriebsbedingte Kündigung</w:t>
      </w:r>
    </w:p>
    <w:p w14:paraId="3E2E4787" w14:textId="77777777" w:rsidR="009D38D9" w:rsidRPr="009D38D9" w:rsidRDefault="009D38D9" w:rsidP="009D38D9">
      <w:pPr>
        <w:ind w:left="360"/>
        <w:rPr>
          <w:rFonts w:ascii="Arial" w:hAnsi="Arial" w:cs="Arial"/>
        </w:rPr>
      </w:pPr>
    </w:p>
    <w:p w14:paraId="5FDCA3BC" w14:textId="77777777" w:rsidR="00D07529" w:rsidRPr="00D07529" w:rsidRDefault="00D07529" w:rsidP="00D07529">
      <w:pPr>
        <w:rPr>
          <w:rFonts w:ascii="Arial" w:hAnsi="Arial" w:cs="Arial"/>
          <w:b/>
        </w:rPr>
      </w:pPr>
      <w:r w:rsidRPr="00D07529">
        <w:rPr>
          <w:rFonts w:ascii="Arial" w:hAnsi="Arial" w:cs="Arial"/>
          <w:b/>
        </w:rPr>
        <w:t>Kündigungsrechtlich besonders geschützte Personenkreise</w:t>
      </w:r>
    </w:p>
    <w:p w14:paraId="2E824993" w14:textId="77777777" w:rsidR="00D07529" w:rsidRPr="00D07529" w:rsidRDefault="00D07529" w:rsidP="00D07529">
      <w:pPr>
        <w:rPr>
          <w:rFonts w:ascii="Arial" w:hAnsi="Arial" w:cs="Arial"/>
        </w:rPr>
      </w:pPr>
      <w:r w:rsidRPr="00D07529">
        <w:rPr>
          <w:rFonts w:ascii="Arial" w:hAnsi="Arial" w:cs="Arial"/>
        </w:rPr>
        <w:t>Personen, die sich in besonderen Situationen befinden haben einen besonderen Schutz vor einer Kündigung.</w:t>
      </w:r>
    </w:p>
    <w:p w14:paraId="574D63EB" w14:textId="77777777" w:rsidR="00D07529" w:rsidRPr="00D07529" w:rsidRDefault="00D07529" w:rsidP="00D07529">
      <w:pPr>
        <w:rPr>
          <w:rFonts w:ascii="Arial" w:hAnsi="Arial" w:cs="Arial"/>
          <w:b/>
          <w:bCs/>
        </w:rPr>
      </w:pPr>
      <w:r w:rsidRPr="00D07529">
        <w:rPr>
          <w:rFonts w:ascii="Arial" w:hAnsi="Arial" w:cs="Arial"/>
          <w:b/>
          <w:bCs/>
        </w:rPr>
        <w:t>Zwei Formen des besonderen Kündigungsschutzes:</w:t>
      </w:r>
    </w:p>
    <w:p w14:paraId="4EFF0E34" w14:textId="77777777" w:rsidR="00D07529" w:rsidRPr="00D07529" w:rsidRDefault="00D07529" w:rsidP="00D07529">
      <w:pPr>
        <w:pStyle w:val="Listenabsatz"/>
        <w:numPr>
          <w:ilvl w:val="0"/>
          <w:numId w:val="17"/>
        </w:numPr>
        <w:spacing w:line="288" w:lineRule="auto"/>
        <w:rPr>
          <w:rFonts w:ascii="Arial" w:hAnsi="Arial" w:cs="Arial"/>
        </w:rPr>
      </w:pPr>
      <w:r w:rsidRPr="00D07529">
        <w:rPr>
          <w:rFonts w:ascii="Arial" w:hAnsi="Arial" w:cs="Arial"/>
        </w:rPr>
        <w:t>Kündigung ist verboten</w:t>
      </w:r>
    </w:p>
    <w:p w14:paraId="514E4DE6" w14:textId="7C808A68" w:rsidR="00D07529" w:rsidRPr="00D07529" w:rsidRDefault="00D07529" w:rsidP="00D07529">
      <w:pPr>
        <w:pStyle w:val="Listenabsatz"/>
        <w:numPr>
          <w:ilvl w:val="0"/>
          <w:numId w:val="17"/>
        </w:numPr>
        <w:spacing w:line="288" w:lineRule="auto"/>
        <w:rPr>
          <w:rFonts w:ascii="Arial" w:hAnsi="Arial" w:cs="Arial"/>
        </w:rPr>
      </w:pPr>
      <w:r w:rsidRPr="00D07529">
        <w:rPr>
          <w:rFonts w:ascii="Arial" w:hAnsi="Arial" w:cs="Arial"/>
        </w:rPr>
        <w:t>Kündigung bedarf Zustimmung eines Dritten</w:t>
      </w:r>
    </w:p>
    <w:p w14:paraId="0DADA4E2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Besondere Ausnahmesituation / außerordentliche Kündigung:</w:t>
      </w:r>
    </w:p>
    <w:p w14:paraId="599B29EC" w14:textId="3B5B9784" w:rsidR="00B26FC9" w:rsidRPr="00B26FC9" w:rsidRDefault="00B26FC9" w:rsidP="00B26FC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Gilt nur bei wichtigen Gründen (Alkohol, Arbeitsverweigerung, Belästigung, …)</w:t>
      </w:r>
    </w:p>
    <w:p w14:paraId="30A428F0" w14:textId="2F44F572" w:rsidR="00B26FC9" w:rsidRPr="00B26FC9" w:rsidRDefault="00B26FC9" w:rsidP="00B26FC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Es gelten keine Kündigungsfristen</w:t>
      </w:r>
    </w:p>
    <w:p w14:paraId="24C34FBD" w14:textId="77777777" w:rsidR="00B26FC9" w:rsidRPr="00B26FC9" w:rsidRDefault="00B26FC9" w:rsidP="00B26FC9">
      <w:pPr>
        <w:rPr>
          <w:rFonts w:ascii="Arial" w:hAnsi="Arial" w:cs="Arial"/>
          <w:b/>
        </w:rPr>
      </w:pPr>
      <w:r w:rsidRPr="00B26FC9">
        <w:rPr>
          <w:rFonts w:ascii="Arial" w:hAnsi="Arial" w:cs="Arial"/>
          <w:b/>
        </w:rPr>
        <w:t>Änderungskündigung:</w:t>
      </w:r>
    </w:p>
    <w:p w14:paraId="73D6C340" w14:textId="4A893754" w:rsidR="00B26FC9" w:rsidRPr="00B26FC9" w:rsidRDefault="00B26FC9" w:rsidP="00B26FC9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B26FC9">
        <w:rPr>
          <w:rFonts w:ascii="Arial" w:hAnsi="Arial" w:cs="Arial"/>
        </w:rPr>
        <w:t>Besteht aus Kündigung und Angebot zu einem Arbeitsverhältnis mit geänderten Konditionen (z.B. Änderung von Ort, Leistung oder Arbeitszeiten)</w:t>
      </w:r>
    </w:p>
    <w:p w14:paraId="19D8DB30" w14:textId="77777777" w:rsidR="00EF5FA1" w:rsidRPr="00EF5FA1" w:rsidRDefault="00B26FC9" w:rsidP="00B26FC9">
      <w:pPr>
        <w:pStyle w:val="Listenabsatz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B26FC9">
        <w:rPr>
          <w:rFonts w:ascii="Arial" w:hAnsi="Arial" w:cs="Arial"/>
        </w:rPr>
        <w:t>Das Angebot kann unter Vorbehalt angenommen werden, während einer Prüfung der Kündigung auf soziale Gerecht Fertigkeit wird zu neuen Bedingungen gearbeitet</w:t>
      </w:r>
    </w:p>
    <w:p w14:paraId="5DEF03EF" w14:textId="77777777" w:rsidR="00D07529" w:rsidRDefault="00D07529" w:rsidP="00EF5FA1">
      <w:pPr>
        <w:rPr>
          <w:rFonts w:ascii="Arial" w:hAnsi="Arial" w:cs="Arial"/>
          <w:b/>
        </w:rPr>
      </w:pPr>
    </w:p>
    <w:p w14:paraId="464B0747" w14:textId="57C93B26" w:rsidR="00EF5FA1" w:rsidRPr="000E4A8F" w:rsidRDefault="00EF5FA1" w:rsidP="00EF5FA1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Zugang der Kündigungserklärung</w:t>
      </w:r>
    </w:p>
    <w:p w14:paraId="47630808" w14:textId="77777777" w:rsidR="00EF5FA1" w:rsidRPr="000E4A8F" w:rsidRDefault="00EF5FA1" w:rsidP="00EF5FA1">
      <w:pPr>
        <w:rPr>
          <w:rFonts w:ascii="Arial" w:hAnsi="Arial" w:cs="Arial"/>
        </w:rPr>
      </w:pPr>
      <w:r w:rsidRPr="000E4A8F">
        <w:rPr>
          <w:rFonts w:ascii="Arial" w:hAnsi="Arial" w:cs="Arial"/>
        </w:rPr>
        <w:t>Die Willenserklärung muss dem jeweiligen Empfänger zugehen.</w:t>
      </w:r>
    </w:p>
    <w:p w14:paraId="3D38018F" w14:textId="77777777" w:rsidR="00EF5FA1" w:rsidRPr="000E4A8F" w:rsidRDefault="00EF5FA1" w:rsidP="00EF5FA1">
      <w:pPr>
        <w:rPr>
          <w:rFonts w:ascii="Arial" w:hAnsi="Arial" w:cs="Arial"/>
          <w:b/>
        </w:rPr>
      </w:pPr>
      <w:r w:rsidRPr="000E4A8F">
        <w:rPr>
          <w:rFonts w:ascii="Arial" w:hAnsi="Arial" w:cs="Arial"/>
          <w:b/>
        </w:rPr>
        <w:t>Wir unterscheiden zwei Arten:</w:t>
      </w:r>
    </w:p>
    <w:p w14:paraId="02A30EFF" w14:textId="2F81E9EE" w:rsidR="00EF5FA1" w:rsidRPr="00AE1055" w:rsidRDefault="00EF5FA1" w:rsidP="00AE1055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Zugang unter Anwesenden</w:t>
      </w:r>
    </w:p>
    <w:p w14:paraId="3143BD5D" w14:textId="77777777" w:rsidR="00D6118B" w:rsidRDefault="00EF5FA1" w:rsidP="00AE1055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Zugang unter Abwes</w:t>
      </w:r>
      <w:r w:rsidR="00D6118B">
        <w:rPr>
          <w:rFonts w:ascii="Arial" w:hAnsi="Arial" w:cs="Arial"/>
        </w:rPr>
        <w:t>enden</w:t>
      </w:r>
    </w:p>
    <w:p w14:paraId="05846212" w14:textId="0EC47267" w:rsidR="00EF5FA1" w:rsidRPr="00D6118B" w:rsidRDefault="00EF5FA1" w:rsidP="00D6118B">
      <w:pPr>
        <w:rPr>
          <w:rFonts w:ascii="Arial" w:hAnsi="Arial" w:cs="Arial"/>
        </w:rPr>
      </w:pPr>
      <w:r w:rsidRPr="00D6118B">
        <w:rPr>
          <w:rFonts w:ascii="Arial" w:hAnsi="Arial" w:cs="Arial"/>
          <w:b/>
        </w:rPr>
        <w:t>Zweckerreichung und Eintreten einer Auflösenden Bedingung</w:t>
      </w:r>
    </w:p>
    <w:p w14:paraId="42B30051" w14:textId="79E82B9E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3 Abs. 1 S 2 TzBfG</w:t>
      </w:r>
    </w:p>
    <w:p w14:paraId="681FEA9B" w14:textId="594BAB89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Schließung eines Zweckbefristeten Arbeitsvertrag</w:t>
      </w:r>
    </w:p>
    <w:p w14:paraId="2B782B94" w14:textId="283AAC7C" w:rsidR="00EF5FA1" w:rsidRPr="000E4A8F" w:rsidRDefault="00EF5FA1" w:rsidP="00EF5FA1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Verhältnis endet mit Eintreten des vereinbarten Zwecks</w:t>
      </w:r>
    </w:p>
    <w:p w14:paraId="3C2C9C7D" w14:textId="0B32840C" w:rsidR="00EF5FA1" w:rsidRPr="000E4A8F" w:rsidRDefault="00EF5FA1" w:rsidP="00EF5FA1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Vertrag wird mit einer auflösenden Bedingung versehen</w:t>
      </w:r>
    </w:p>
    <w:p w14:paraId="167C4B71" w14:textId="1EB14686" w:rsidR="00EF5FA1" w:rsidRPr="000E4A8F" w:rsidRDefault="00EF5FA1" w:rsidP="00EF5FA1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§ 15 Abs. 2 TzBfG bzw. § 21 in Verbindung mit § 15 Abs. 2 TzBfG</w:t>
      </w:r>
    </w:p>
    <w:p w14:paraId="0BCBCACB" w14:textId="76E2E040" w:rsidR="009D38D9" w:rsidRDefault="00EF5FA1" w:rsidP="009D38D9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0E4A8F">
        <w:rPr>
          <w:rFonts w:ascii="Arial" w:hAnsi="Arial" w:cs="Arial"/>
        </w:rPr>
        <w:t>Arbeitgeber wird mindestens 2 Wochen vor Eintreten des Zwecks schriftlich darüber informiert</w:t>
      </w:r>
    </w:p>
    <w:p w14:paraId="4353397E" w14:textId="31D12325" w:rsidR="000B78D0" w:rsidRDefault="000B78D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F3E14DD" w14:textId="77777777" w:rsidR="009D38D9" w:rsidRPr="009D38D9" w:rsidRDefault="009D38D9" w:rsidP="009D38D9">
      <w:pPr>
        <w:pStyle w:val="Listenabsatz"/>
        <w:ind w:left="1440"/>
        <w:rPr>
          <w:rFonts w:ascii="Arial" w:hAnsi="Arial" w:cs="Arial"/>
        </w:rPr>
      </w:pPr>
    </w:p>
    <w:p w14:paraId="687A0652" w14:textId="46CFD7C0" w:rsidR="00B26FC9" w:rsidRDefault="00B26FC9" w:rsidP="00B26FC9">
      <w:pPr>
        <w:pStyle w:val="Listenabsatz"/>
        <w:numPr>
          <w:ilvl w:val="0"/>
          <w:numId w:val="4"/>
        </w:numPr>
        <w:rPr>
          <w:rFonts w:ascii="Arial" w:hAnsi="Arial" w:cs="Arial"/>
          <w:b/>
          <w:sz w:val="28"/>
          <w:szCs w:val="28"/>
        </w:rPr>
      </w:pPr>
      <w:r w:rsidRPr="00B26FC9">
        <w:rPr>
          <w:rFonts w:ascii="Arial" w:hAnsi="Arial" w:cs="Arial"/>
          <w:b/>
          <w:sz w:val="28"/>
          <w:szCs w:val="28"/>
        </w:rPr>
        <w:t>Schluss</w:t>
      </w:r>
    </w:p>
    <w:p w14:paraId="1BB37C4E" w14:textId="2A18FD75" w:rsidR="00A8660B" w:rsidRPr="00D74DAD" w:rsidRDefault="00624FB7" w:rsidP="00624FB7">
      <w:pPr>
        <w:rPr>
          <w:rFonts w:ascii="Arial" w:hAnsi="Arial" w:cs="Arial"/>
          <w:bCs/>
        </w:rPr>
      </w:pPr>
      <w:r w:rsidRPr="00624FB7">
        <w:rPr>
          <w:rFonts w:ascii="Arial" w:hAnsi="Arial" w:cs="Arial"/>
          <w:bCs/>
        </w:rPr>
        <w:t>Sie möchten sich nach dem Workshop noch weiter informieren?</w:t>
      </w:r>
    </w:p>
    <w:p w14:paraId="58211102" w14:textId="77777777" w:rsidR="00A8660B" w:rsidRDefault="00A8660B" w:rsidP="00624FB7">
      <w:pPr>
        <w:rPr>
          <w:rFonts w:ascii="Arial" w:hAnsi="Arial" w:cs="Arial"/>
          <w:b/>
          <w:bCs/>
        </w:rPr>
      </w:pPr>
    </w:p>
    <w:p w14:paraId="538BA100" w14:textId="4FB46F5D" w:rsidR="00624FB7" w:rsidRPr="00624FB7" w:rsidRDefault="00624FB7" w:rsidP="00624FB7">
      <w:pPr>
        <w:rPr>
          <w:rFonts w:ascii="Arial" w:hAnsi="Arial" w:cs="Arial"/>
          <w:b/>
          <w:bCs/>
        </w:rPr>
      </w:pPr>
      <w:r w:rsidRPr="00624FB7">
        <w:rPr>
          <w:rFonts w:ascii="Arial" w:hAnsi="Arial" w:cs="Arial"/>
          <w:b/>
          <w:bCs/>
        </w:rPr>
        <w:t>Literaturtipps</w:t>
      </w:r>
    </w:p>
    <w:p w14:paraId="2EAC4C33" w14:textId="77777777" w:rsidR="00624FB7" w:rsidRPr="00624FB7" w:rsidRDefault="00624FB7" w:rsidP="00624FB7">
      <w:pPr>
        <w:rPr>
          <w:rFonts w:ascii="Arial" w:hAnsi="Arial" w:cs="Arial"/>
        </w:rPr>
      </w:pPr>
      <w:r w:rsidRPr="00624FB7">
        <w:rPr>
          <w:rFonts w:ascii="Arial" w:hAnsi="Arial" w:cs="Arial"/>
        </w:rPr>
        <w:t>Haas, H. (2013): Recht und Praxis der Verhaltensbedingten Kündigung, Berlin</w:t>
      </w:r>
    </w:p>
    <w:p w14:paraId="6B893A1B" w14:textId="0A870271" w:rsidR="00A8660B" w:rsidRDefault="00624FB7">
      <w:pPr>
        <w:rPr>
          <w:rFonts w:ascii="Arial" w:hAnsi="Arial" w:cs="Arial"/>
        </w:rPr>
      </w:pPr>
      <w:r w:rsidRPr="00624FB7">
        <w:rPr>
          <w:rFonts w:ascii="Arial" w:hAnsi="Arial" w:cs="Arial"/>
        </w:rPr>
        <w:t>Heun-Lechner, O. (2020): Kündigung: Faires und Wertschätzendes Trennen, Wiesbaden</w:t>
      </w:r>
    </w:p>
    <w:p w14:paraId="491AFC56" w14:textId="77777777" w:rsidR="00A8660B" w:rsidRPr="00A8660B" w:rsidRDefault="00A8660B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</w:rPr>
        <w:id w:val="829480993"/>
        <w:docPartObj>
          <w:docPartGallery w:val="Bibliographies"/>
          <w:docPartUnique/>
        </w:docPartObj>
      </w:sdtPr>
      <w:sdtEndPr/>
      <w:sdtContent>
        <w:p w14:paraId="247150F1" w14:textId="41E8BD70" w:rsidR="00B26FC9" w:rsidRDefault="00B26FC9">
          <w:pPr>
            <w:pStyle w:val="berschrift1"/>
            <w:rPr>
              <w:rFonts w:ascii="Arial" w:hAnsi="Arial" w:cs="Arial"/>
            </w:rPr>
          </w:pPr>
          <w:r w:rsidRPr="005C7A62">
            <w:rPr>
              <w:rFonts w:ascii="Arial" w:hAnsi="Arial" w:cs="Arial"/>
            </w:rPr>
            <w:t>Literaturverzeichnis</w:t>
          </w:r>
        </w:p>
        <w:p w14:paraId="41FA7133" w14:textId="77777777" w:rsidR="005C7A62" w:rsidRPr="005C7A62" w:rsidRDefault="005C7A62" w:rsidP="005C7A62">
          <w:pPr>
            <w:rPr>
              <w:lang w:eastAsia="de-DE"/>
            </w:rPr>
          </w:pPr>
        </w:p>
        <w:sdt>
          <w:sdtPr>
            <w:id w:val="111145805"/>
            <w:bibliography/>
          </w:sdtPr>
          <w:sdtEndPr/>
          <w:sdtContent>
            <w:p w14:paraId="2B5D0149" w14:textId="77777777" w:rsidR="005625F9" w:rsidRPr="005C7A62" w:rsidRDefault="00B26FC9" w:rsidP="005625F9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  <w:sz w:val="24"/>
                  <w:szCs w:val="24"/>
                </w:rPr>
              </w:pPr>
              <w:r w:rsidRPr="005C7A62">
                <w:rPr>
                  <w:rFonts w:ascii="Arial" w:hAnsi="Arial" w:cs="Arial"/>
                </w:rPr>
                <w:fldChar w:fldCharType="begin"/>
              </w:r>
              <w:r w:rsidRPr="005C7A62">
                <w:rPr>
                  <w:rFonts w:ascii="Arial" w:hAnsi="Arial" w:cs="Arial"/>
                </w:rPr>
                <w:instrText>BIBLIOGRAPHY</w:instrText>
              </w:r>
              <w:r w:rsidRPr="005C7A62">
                <w:rPr>
                  <w:rFonts w:ascii="Arial" w:hAnsi="Arial" w:cs="Arial"/>
                </w:rPr>
                <w:fldChar w:fldCharType="separate"/>
              </w:r>
              <w:r w:rsidR="005625F9" w:rsidRPr="005C7A62">
                <w:rPr>
                  <w:rFonts w:ascii="Arial" w:hAnsi="Arial" w:cs="Arial"/>
                  <w:noProof/>
                </w:rPr>
                <w:t xml:space="preserve">Kerstin, R. (2014). </w:t>
              </w:r>
              <w:r w:rsidR="005625F9" w:rsidRPr="005C7A62">
                <w:rPr>
                  <w:rFonts w:ascii="Arial" w:hAnsi="Arial" w:cs="Arial"/>
                  <w:i/>
                  <w:iCs/>
                  <w:noProof/>
                </w:rPr>
                <w:t>Kündigung und Personalabbau.</w:t>
              </w:r>
              <w:r w:rsidR="005625F9" w:rsidRPr="005C7A62">
                <w:rPr>
                  <w:rFonts w:ascii="Arial" w:hAnsi="Arial" w:cs="Arial"/>
                  <w:noProof/>
                </w:rPr>
                <w:t xml:space="preserve"> Berlin/Boston: Walter de Gruyter GmbH &amp; Co. KG.</w:t>
              </w:r>
            </w:p>
            <w:p w14:paraId="2A070B69" w14:textId="77777777" w:rsidR="005625F9" w:rsidRPr="005C7A62" w:rsidRDefault="005625F9" w:rsidP="005625F9">
              <w:pPr>
                <w:pStyle w:val="Literaturverzeichnis"/>
                <w:ind w:left="720" w:hanging="720"/>
                <w:rPr>
                  <w:rFonts w:ascii="Arial" w:hAnsi="Arial" w:cs="Arial"/>
                  <w:noProof/>
                </w:rPr>
              </w:pPr>
              <w:r w:rsidRPr="005C7A62">
                <w:rPr>
                  <w:rFonts w:ascii="Arial" w:hAnsi="Arial" w:cs="Arial"/>
                  <w:noProof/>
                </w:rPr>
                <w:t xml:space="preserve">Wolmerath, M. (2020). </w:t>
              </w:r>
              <w:r w:rsidRPr="005C7A62">
                <w:rPr>
                  <w:rFonts w:ascii="Arial" w:hAnsi="Arial" w:cs="Arial"/>
                  <w:i/>
                  <w:iCs/>
                  <w:noProof/>
                </w:rPr>
                <w:t>Lernbuch Arbeitsrecht.</w:t>
              </w:r>
              <w:r w:rsidRPr="005C7A62">
                <w:rPr>
                  <w:rFonts w:ascii="Arial" w:hAnsi="Arial" w:cs="Arial"/>
                  <w:noProof/>
                </w:rPr>
                <w:t xml:space="preserve"> Hamm: Delgany Publishing GmbH.</w:t>
              </w:r>
            </w:p>
            <w:p w14:paraId="2A3AF316" w14:textId="177D689F" w:rsidR="00B26FC9" w:rsidRPr="005625F9" w:rsidRDefault="00B26FC9" w:rsidP="005625F9">
              <w:pPr>
                <w:rPr>
                  <w:rFonts w:cstheme="minorHAnsi"/>
                  <w:lang w:val="en-US"/>
                </w:rPr>
              </w:pPr>
              <w:r w:rsidRPr="005C7A62">
                <w:rPr>
                  <w:rFonts w:ascii="Arial" w:hAnsi="Arial"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12EA6FCD" w14:textId="77777777" w:rsidR="00B26FC9" w:rsidRPr="00B26FC9" w:rsidRDefault="00B26FC9" w:rsidP="00B26FC9">
      <w:pPr>
        <w:rPr>
          <w:rFonts w:ascii="Arial" w:hAnsi="Arial" w:cs="Arial"/>
          <w:b/>
          <w:sz w:val="28"/>
          <w:szCs w:val="28"/>
        </w:rPr>
      </w:pPr>
    </w:p>
    <w:sectPr w:rsidR="00B26FC9" w:rsidRPr="00B26FC9" w:rsidSect="009D38D9">
      <w:headerReference w:type="default" r:id="rId10"/>
      <w:footerReference w:type="default" r:id="rId11"/>
      <w:pgSz w:w="11906" w:h="16838"/>
      <w:pgMar w:top="720" w:right="720" w:bottom="720" w:left="720" w:header="283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3AE032" w14:textId="77777777" w:rsidR="00F94BD0" w:rsidRDefault="00F94BD0" w:rsidP="0015784B">
      <w:pPr>
        <w:spacing w:after="0" w:line="240" w:lineRule="auto"/>
      </w:pPr>
      <w:r>
        <w:separator/>
      </w:r>
    </w:p>
  </w:endnote>
  <w:endnote w:type="continuationSeparator" w:id="0">
    <w:p w14:paraId="2028ACDC" w14:textId="77777777" w:rsidR="00F94BD0" w:rsidRDefault="00F94BD0" w:rsidP="0015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355"/>
      <w:gridCol w:w="5341"/>
    </w:tblGrid>
    <w:tr w:rsidR="00800118" w14:paraId="5F6BA4F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9243410" w14:textId="77777777" w:rsidR="00800118" w:rsidRDefault="00800118">
          <w:pPr>
            <w:pStyle w:val="Kopfzeile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CEDF20C" w14:textId="1DA1A82D" w:rsidR="00800118" w:rsidRDefault="009D38D9" w:rsidP="009D38D9">
          <w:pPr>
            <w:pStyle w:val="Kopfzeile"/>
            <w:tabs>
              <w:tab w:val="left" w:pos="1351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  <w:r>
            <w:rPr>
              <w:caps/>
              <w:sz w:val="18"/>
            </w:rPr>
            <w:tab/>
          </w:r>
        </w:p>
      </w:tc>
    </w:tr>
    <w:tr w:rsidR="00800118" w14:paraId="0B8AACC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F5D3E99DF974491981E1E13E781CA70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FA40260" w14:textId="690AC81B" w:rsidR="00800118" w:rsidRDefault="00800118">
              <w:pPr>
                <w:pStyle w:val="Fuzeil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Dehbia Kouadria, Robin Kierstein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1FBFFA2" w14:textId="77777777" w:rsidR="00800118" w:rsidRDefault="00800118">
          <w:pPr>
            <w:pStyle w:val="Fuzeil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9EFAE5" w14:textId="77777777" w:rsidR="0015784B" w:rsidRDefault="0015784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BF0D1" w14:textId="77777777" w:rsidR="00F94BD0" w:rsidRDefault="00F94BD0" w:rsidP="0015784B">
      <w:pPr>
        <w:spacing w:after="0" w:line="240" w:lineRule="auto"/>
      </w:pPr>
      <w:r>
        <w:separator/>
      </w:r>
    </w:p>
  </w:footnote>
  <w:footnote w:type="continuationSeparator" w:id="0">
    <w:p w14:paraId="528DEDF8" w14:textId="77777777" w:rsidR="00F94BD0" w:rsidRDefault="00F94BD0" w:rsidP="0015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74B7C" w14:textId="70F81E98" w:rsidR="0015784B" w:rsidRPr="001F238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b/>
        <w:noProof/>
      </w:rPr>
      <w:drawing>
        <wp:anchor distT="0" distB="0" distL="114300" distR="114300" simplePos="0" relativeHeight="251672576" behindDoc="1" locked="0" layoutInCell="1" allowOverlap="1" wp14:anchorId="73B1CE90" wp14:editId="1C40702E">
          <wp:simplePos x="0" y="0"/>
          <wp:positionH relativeFrom="column">
            <wp:posOffset>2113</wp:posOffset>
          </wp:positionH>
          <wp:positionV relativeFrom="paragraph">
            <wp:posOffset>89535</wp:posOffset>
          </wp:positionV>
          <wp:extent cx="1742440" cy="539750"/>
          <wp:effectExtent l="0" t="0" r="0" b="0"/>
          <wp:wrapTight wrapText="bothSides">
            <wp:wrapPolygon edited="0">
              <wp:start x="0" y="0"/>
              <wp:lineTo x="0" y="20584"/>
              <wp:lineTo x="21254" y="20584"/>
              <wp:lineTo x="21254" y="0"/>
              <wp:lineTo x="0" y="0"/>
            </wp:wrapPolygon>
          </wp:wrapTight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 descr="Ein Bild, das Text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244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5784B">
      <w:rPr>
        <w:rFonts w:ascii="Arial" w:hAnsi="Arial" w:cs="Arial"/>
        <w:b/>
      </w:rPr>
      <w:t>Modul:</w:t>
    </w:r>
    <w:r w:rsidRPr="001F238B">
      <w:rPr>
        <w:rFonts w:ascii="Arial" w:hAnsi="Arial" w:cs="Arial"/>
      </w:rPr>
      <w:t xml:space="preserve"> Führung im sechsten Semester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 w:rsidR="005A2468">
      <w:rPr>
        <w:rFonts w:ascii="Arial" w:hAnsi="Arial" w:cs="Arial"/>
      </w:rPr>
      <w:t>12</w:t>
    </w:r>
    <w:r>
      <w:rPr>
        <w:rFonts w:ascii="Arial" w:hAnsi="Arial" w:cs="Arial"/>
      </w:rPr>
      <w:t>.0</w:t>
    </w:r>
    <w:r w:rsidR="005A2468">
      <w:rPr>
        <w:rFonts w:ascii="Arial" w:hAnsi="Arial" w:cs="Arial"/>
      </w:rPr>
      <w:t>6</w:t>
    </w:r>
    <w:r>
      <w:rPr>
        <w:rFonts w:ascii="Arial" w:hAnsi="Arial" w:cs="Arial"/>
      </w:rPr>
      <w:t>.2023</w:t>
    </w:r>
  </w:p>
  <w:p w14:paraId="7F97C02A" w14:textId="4E221252" w:rsidR="0015784B" w:rsidRPr="001F238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rFonts w:ascii="Arial" w:hAnsi="Arial" w:cs="Arial"/>
        <w:b/>
      </w:rPr>
      <w:t>Modulverantwortliche:</w:t>
    </w:r>
    <w:r w:rsidRPr="001F238B">
      <w:rPr>
        <w:rFonts w:ascii="Arial" w:hAnsi="Arial" w:cs="Arial"/>
      </w:rPr>
      <w:t xml:space="preserve"> Prof. Dr. Evelyn Albrecht</w:t>
    </w:r>
  </w:p>
  <w:p w14:paraId="7BB40F94" w14:textId="3DB09CEE" w:rsidR="0015784B" w:rsidRDefault="0015784B" w:rsidP="0015784B">
    <w:pPr>
      <w:spacing w:line="240" w:lineRule="auto"/>
      <w:ind w:left="3540"/>
      <w:rPr>
        <w:rFonts w:ascii="Arial" w:hAnsi="Arial" w:cs="Arial"/>
      </w:rPr>
    </w:pPr>
    <w:r w:rsidRPr="0015784B">
      <w:rPr>
        <w:rFonts w:ascii="Arial" w:hAnsi="Arial" w:cs="Arial"/>
        <w:b/>
      </w:rPr>
      <w:t>Präsentiert von:</w:t>
    </w:r>
    <w:r w:rsidRPr="001F238B">
      <w:rPr>
        <w:rFonts w:ascii="Arial" w:hAnsi="Arial" w:cs="Arial"/>
      </w:rPr>
      <w:t xml:space="preserve"> Dehbia Kouadria</w:t>
    </w:r>
    <w:r>
      <w:rPr>
        <w:rFonts w:ascii="Arial" w:hAnsi="Arial" w:cs="Arial"/>
      </w:rPr>
      <w:t xml:space="preserve"> und </w:t>
    </w:r>
    <w:r w:rsidRPr="001F238B">
      <w:rPr>
        <w:rFonts w:ascii="Arial" w:hAnsi="Arial" w:cs="Arial"/>
      </w:rPr>
      <w:t xml:space="preserve">Robin </w:t>
    </w:r>
    <w:proofErr w:type="spellStart"/>
    <w:r w:rsidRPr="001F238B">
      <w:rPr>
        <w:rFonts w:ascii="Arial" w:hAnsi="Arial" w:cs="Arial"/>
      </w:rPr>
      <w:t>Kierstein</w:t>
    </w:r>
    <w:proofErr w:type="spellEnd"/>
  </w:p>
  <w:p w14:paraId="08303822" w14:textId="687466F6" w:rsidR="0015784B" w:rsidRDefault="0015784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96362"/>
    <w:multiLevelType w:val="hybridMultilevel"/>
    <w:tmpl w:val="088658D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4524D"/>
    <w:multiLevelType w:val="hybridMultilevel"/>
    <w:tmpl w:val="143223DE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DB18D6"/>
    <w:multiLevelType w:val="hybridMultilevel"/>
    <w:tmpl w:val="12081300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240537"/>
    <w:multiLevelType w:val="hybridMultilevel"/>
    <w:tmpl w:val="577EFA0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B3B7B"/>
    <w:multiLevelType w:val="hybridMultilevel"/>
    <w:tmpl w:val="1B90B5B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65271"/>
    <w:multiLevelType w:val="hybridMultilevel"/>
    <w:tmpl w:val="EA289B7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D437F4"/>
    <w:multiLevelType w:val="hybridMultilevel"/>
    <w:tmpl w:val="94B6B91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4E6BFA"/>
    <w:multiLevelType w:val="hybridMultilevel"/>
    <w:tmpl w:val="24A2CF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E1341"/>
    <w:multiLevelType w:val="hybridMultilevel"/>
    <w:tmpl w:val="98F2FA9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7B757D"/>
    <w:multiLevelType w:val="hybridMultilevel"/>
    <w:tmpl w:val="10F609E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B23C94"/>
    <w:multiLevelType w:val="hybridMultilevel"/>
    <w:tmpl w:val="C3A62FA0"/>
    <w:lvl w:ilvl="0" w:tplc="D158B2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854B7F"/>
    <w:multiLevelType w:val="hybridMultilevel"/>
    <w:tmpl w:val="0750006E"/>
    <w:lvl w:ilvl="0" w:tplc="C8A28B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604B6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A851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E262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9445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28F5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688C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CCE1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44DC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A62EB3"/>
    <w:multiLevelType w:val="hybridMultilevel"/>
    <w:tmpl w:val="6C9ACB0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B7933"/>
    <w:multiLevelType w:val="hybridMultilevel"/>
    <w:tmpl w:val="61CC5FE0"/>
    <w:lvl w:ilvl="0" w:tplc="F3A47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3659B"/>
    <w:multiLevelType w:val="hybridMultilevel"/>
    <w:tmpl w:val="9240166C"/>
    <w:lvl w:ilvl="0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80A1849"/>
    <w:multiLevelType w:val="hybridMultilevel"/>
    <w:tmpl w:val="C5608C5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A1567F"/>
    <w:multiLevelType w:val="hybridMultilevel"/>
    <w:tmpl w:val="27CC2B8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935FF"/>
    <w:multiLevelType w:val="hybridMultilevel"/>
    <w:tmpl w:val="52ECBFF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CB4AA1"/>
    <w:multiLevelType w:val="hybridMultilevel"/>
    <w:tmpl w:val="B90EDFAC"/>
    <w:lvl w:ilvl="0" w:tplc="F39437E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6592636"/>
    <w:multiLevelType w:val="hybridMultilevel"/>
    <w:tmpl w:val="621415C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E77F6"/>
    <w:multiLevelType w:val="hybridMultilevel"/>
    <w:tmpl w:val="E48ECB98"/>
    <w:lvl w:ilvl="0" w:tplc="0407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E491982"/>
    <w:multiLevelType w:val="hybridMultilevel"/>
    <w:tmpl w:val="59F0D46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66573064">
    <w:abstractNumId w:val="13"/>
  </w:num>
  <w:num w:numId="2" w16cid:durableId="685907641">
    <w:abstractNumId w:val="10"/>
  </w:num>
  <w:num w:numId="3" w16cid:durableId="134177074">
    <w:abstractNumId w:val="18"/>
  </w:num>
  <w:num w:numId="4" w16cid:durableId="1767649053">
    <w:abstractNumId w:val="21"/>
  </w:num>
  <w:num w:numId="5" w16cid:durableId="102263541">
    <w:abstractNumId w:val="2"/>
  </w:num>
  <w:num w:numId="6" w16cid:durableId="216280107">
    <w:abstractNumId w:val="8"/>
  </w:num>
  <w:num w:numId="7" w16cid:durableId="324207222">
    <w:abstractNumId w:val="5"/>
  </w:num>
  <w:num w:numId="8" w16cid:durableId="1839542468">
    <w:abstractNumId w:val="0"/>
  </w:num>
  <w:num w:numId="9" w16cid:durableId="807363392">
    <w:abstractNumId w:val="19"/>
  </w:num>
  <w:num w:numId="10" w16cid:durableId="117453687">
    <w:abstractNumId w:val="3"/>
  </w:num>
  <w:num w:numId="11" w16cid:durableId="1912962538">
    <w:abstractNumId w:val="17"/>
  </w:num>
  <w:num w:numId="12" w16cid:durableId="136653837">
    <w:abstractNumId w:val="14"/>
  </w:num>
  <w:num w:numId="13" w16cid:durableId="1446466148">
    <w:abstractNumId w:val="4"/>
  </w:num>
  <w:num w:numId="14" w16cid:durableId="1121724993">
    <w:abstractNumId w:val="15"/>
  </w:num>
  <w:num w:numId="15" w16cid:durableId="1887443849">
    <w:abstractNumId w:val="6"/>
  </w:num>
  <w:num w:numId="16" w16cid:durableId="1352103871">
    <w:abstractNumId w:val="9"/>
  </w:num>
  <w:num w:numId="17" w16cid:durableId="941957090">
    <w:abstractNumId w:val="20"/>
  </w:num>
  <w:num w:numId="18" w16cid:durableId="933127574">
    <w:abstractNumId w:val="1"/>
  </w:num>
  <w:num w:numId="19" w16cid:durableId="1339457408">
    <w:abstractNumId w:val="12"/>
  </w:num>
  <w:num w:numId="20" w16cid:durableId="1541088448">
    <w:abstractNumId w:val="7"/>
  </w:num>
  <w:num w:numId="21" w16cid:durableId="1637443911">
    <w:abstractNumId w:val="11"/>
  </w:num>
  <w:num w:numId="22" w16cid:durableId="5342687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08"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84B"/>
    <w:rsid w:val="000053E1"/>
    <w:rsid w:val="000A32F5"/>
    <w:rsid w:val="000B78D0"/>
    <w:rsid w:val="000E4A8F"/>
    <w:rsid w:val="0015784B"/>
    <w:rsid w:val="00361322"/>
    <w:rsid w:val="004E0B15"/>
    <w:rsid w:val="00501A43"/>
    <w:rsid w:val="005625F9"/>
    <w:rsid w:val="005A2468"/>
    <w:rsid w:val="005C7A62"/>
    <w:rsid w:val="00624FB7"/>
    <w:rsid w:val="007B3F13"/>
    <w:rsid w:val="00800118"/>
    <w:rsid w:val="00843747"/>
    <w:rsid w:val="009D38D9"/>
    <w:rsid w:val="00A8660B"/>
    <w:rsid w:val="00AD0F67"/>
    <w:rsid w:val="00AE1055"/>
    <w:rsid w:val="00AE7906"/>
    <w:rsid w:val="00B26FC9"/>
    <w:rsid w:val="00CB0D9F"/>
    <w:rsid w:val="00CB56ED"/>
    <w:rsid w:val="00D07529"/>
    <w:rsid w:val="00D6118B"/>
    <w:rsid w:val="00D74DAD"/>
    <w:rsid w:val="00DB789A"/>
    <w:rsid w:val="00EF5FA1"/>
    <w:rsid w:val="00F9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  <o:rules v:ext="edit">
        <o:r id="V:Rule2" type="connector" idref="#_x0000_s2051"/>
      </o:rules>
    </o:shapelayout>
  </w:shapeDefaults>
  <w:decimalSymbol w:val=","/>
  <w:listSeparator w:val=";"/>
  <w14:docId w14:val="7AB8EF38"/>
  <w15:chartTrackingRefBased/>
  <w15:docId w15:val="{11349EAB-F604-484E-A19D-563723464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6F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57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5784B"/>
  </w:style>
  <w:style w:type="paragraph" w:styleId="Fuzeile">
    <w:name w:val="footer"/>
    <w:basedOn w:val="Standard"/>
    <w:link w:val="FuzeileZchn"/>
    <w:uiPriority w:val="99"/>
    <w:unhideWhenUsed/>
    <w:rsid w:val="001578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5784B"/>
  </w:style>
  <w:style w:type="paragraph" w:styleId="Listenabsatz">
    <w:name w:val="List Paragraph"/>
    <w:basedOn w:val="Standard"/>
    <w:uiPriority w:val="34"/>
    <w:qFormat/>
    <w:rsid w:val="00800118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26FC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053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053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0053E1"/>
    <w:rPr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3613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18959">
          <w:marLeft w:val="302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5178">
          <w:marLeft w:val="302"/>
          <w:marRight w:val="0"/>
          <w:marTop w:val="0"/>
          <w:marBottom w:val="1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7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5D3E99DF974491981E1E13E781CA7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16FE9724-833A-4A97-9F03-77CD74E5E137}"/>
      </w:docPartPr>
      <w:docPartBody>
        <w:p w:rsidR="00612258" w:rsidRDefault="00141E11" w:rsidP="00141E11">
          <w:pPr>
            <w:pStyle w:val="5F5D3E99DF974491981E1E13E781CA70"/>
          </w:pPr>
          <w:r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E11"/>
    <w:rsid w:val="00141E11"/>
    <w:rsid w:val="003D0464"/>
    <w:rsid w:val="00612258"/>
    <w:rsid w:val="007B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141E11"/>
    <w:rPr>
      <w:color w:val="808080"/>
    </w:rPr>
  </w:style>
  <w:style w:type="paragraph" w:customStyle="1" w:styleId="5F5D3E99DF974491981E1E13E781CA70">
    <w:name w:val="5F5D3E99DF974491981E1E13E781CA70"/>
    <w:rsid w:val="00141E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Mar20</b:Tag>
    <b:SourceType>Book</b:SourceType>
    <b:Guid>{EC7268E2-7792-4DB2-9D7B-E01B5FE5522F}</b:Guid>
    <b:Author>
      <b:Author>
        <b:NameList>
          <b:Person>
            <b:Last>Wolmerath</b:Last>
            <b:First>Martin</b:First>
          </b:Person>
        </b:NameList>
      </b:Author>
    </b:Author>
    <b:Title>Lernbuch Arbeitsrecht</b:Title>
    <b:Year>2020</b:Year>
    <b:City>Hamm</b:City>
    <b:Publisher>Delgany Publishing GmbH</b:Publisher>
    <b:RefOrder>1</b:RefOrder>
  </b:Source>
  <b:Source>
    <b:Tag>Ker14</b:Tag>
    <b:SourceType>Book</b:SourceType>
    <b:Guid>{6A0291C1-06D1-49B7-915F-61FA4C928534}</b:Guid>
    <b:Author>
      <b:Author>
        <b:NameList>
          <b:Person>
            <b:Last>Kerstin</b:Last>
            <b:First>Reiserer</b:First>
          </b:Person>
        </b:NameList>
      </b:Author>
    </b:Author>
    <b:Title>Kündigung und Personalabbau</b:Title>
    <b:Year>2014</b:Year>
    <b:City>Berlin/Boston</b:City>
    <b:Publisher>Walter de Gruyter GmbH &amp; Co. KG</b:Publisher>
    <b:RefOrder>2</b:RefOrder>
  </b:Source>
</b:Sources>
</file>

<file path=customXml/itemProps1.xml><?xml version="1.0" encoding="utf-8"?>
<ds:datastoreItem xmlns:ds="http://schemas.openxmlformats.org/officeDocument/2006/customXml" ds:itemID="{1FF9275F-0F6C-4D92-8298-10E41FDF4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475</Words>
  <Characters>2997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Dehbia Kouadria, Robin Kierstein</dc:creator>
  <cp:keywords/>
  <dc:description/>
  <cp:lastModifiedBy>Dehbia Kouadria</cp:lastModifiedBy>
  <cp:revision>18</cp:revision>
  <dcterms:created xsi:type="dcterms:W3CDTF">2023-04-15T12:34:00Z</dcterms:created>
  <dcterms:modified xsi:type="dcterms:W3CDTF">2023-04-16T13:46:00Z</dcterms:modified>
</cp:coreProperties>
</file>