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C00000"/>
          <w:sz w:val="18"/>
          <w:szCs w:val="18"/>
        </w:rPr>
        <w:t xml:space="preserve">Original Article — DRAFT: every red [TBD] must be filled from experiment outputs before submission</w:t>
      </w:r>
    </w:p>
    <w:p>
      <w:pPr>
        <w:spacing w:after="240" w:lin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BrainHybridNet: A Lightweight Hybrid CNN–Transformer with Self-Supervised Pre-training and Uncertainty Estimation for Joint Brain Tumor Segmentation, Detection and Grading from Multi-Modal MRI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Debobrato Biswas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1*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co-author]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co-author]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2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Department of Computer Science and Engineering, Daffodil International University, Dhaka, Bangladesh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[TBD: affiliation]</w:t>
      </w:r>
    </w:p>
    <w:p>
      <w:pPr>
        <w:spacing w:after="28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*Corresponding author. E-mail: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[TBD: institutional e-mail]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Abstract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Purpose: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Automated analysis of brain tumors in multi-modal magnetic resonance imaging (MRI) usually relies on separate models for segmentation, detection and grading, many of which are large and report no measure of confidence.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Methods: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We propose BrainHybridNet, a lightweight hybrid convolutional neural network (CNN)–vision transformer that segments the whole tumor, tumor core and enhancing tumor in 3D, detects tumor presence and predicts low- versus high-grade glioma in a single forward pass. A sequence-attention block and a two-stage CNN stem provide high-resolution features and skip connections; a four-layer transformer models long-range context. The encoder is pre-trained with 3D masked image modeling, Monte Carlo dropout provides voxel-wise epistemic uncertainty, and transformer attention provides spatial explanations. All baselines (3D U-Net, SegResNet, UNETR, SwinUNETR and nnU-Net) are re-trained on identical subject-level splits of BraTS 2021 (1,251 subjects).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Results: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On the held-out test set BrainHybridNet reaches Dice scores of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(whole tumor),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(tumor core) and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(enhancing tumor) with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million parameters and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ms per 128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crop.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grading, calibration and external-validation results]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Conclusion: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one sentence on the measured accuracy–efficiency–calibration trade-off]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Keywords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Brain tumor segmentation · Multi-modal MRI · Hybrid CNN–transformer · Masked image modeling · Uncertainty estimation · Glioma grading</w:t>
      </w:r>
    </w:p>
    <w:p>
      <w:pPr>
        <w:keepNext/>
        <w:spacing w:before="280" w:after="120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sz w:val="26"/>
          <w:szCs w:val="26"/>
        </w:rPr>
        <w:t xml:space="preserve">1 Introduction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Brain tumors are among the most aggressive forms of cancer: glioblastoma (WHO grade 4) has a median overall survival of 14.6 months under standard-of-care treatment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About 308,000 new cases of brain and central nervous system tumors were estimated worldwide in 2020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[2]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Accurate delineation of the tumor sub-regions—whole tumor (WT), tumor core (TC) and enhancing tumor (ET)—is a prerequisite for surgical planning, radiotherapy targeting and response monitoring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[3]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Multi-modal MRI is the standard for non-invasive brain tumor characterization. T1-weighted images show anatomy, contrast-enhanced T1 (T1ce) shows the enhancing tumor, T2-weighted images show peritumoral edema and FLAIR is sensitive to infiltrative tumor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[4]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Manual delineation takes a long time per case and varies between raters (Dice agreement of 74–85%)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[3]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which motivates automated methods.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CNNs, particularly U-Net and its 3D variants, have dominated medical image segmentation since 2015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[5, 6]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Their local receptive fields limit the modeling of long-range spatial dependencies, which matter for large, irregular tumors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[7]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Transformers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[8]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attend to all positions at once, but pure vision transformers need large training sets and are expensive for 3D volumes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[7]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Existing methods leave several gaps:</w:t>
      </w:r>
    </w:p>
    <w:p>
      <w:pPr>
        <w:pStyle w:val="ListParagraph"/>
        <w:numPr>
          <w:ilvl w:val="0"/>
          <w:numId w:val="2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Single-task designs: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segmentation and grading are usually solved by separate models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[9]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requirements: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transformer models need many labeled scans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[10]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Missing uncertainty: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most segmentation methods report point predictions only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[11]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Limited interpretability: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clinical use requires explanations of model decisions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[12]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Computational cost: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models with tens of millions of parameters are hard to deploy on standard workstations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[13]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propose BrainHybridNet, which combines a CNN stem (local features) and a transformer bottleneck (global context) with self-supervised pre-training, uncertainty estimation and multi-task heads.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1.1 Contributions</w:t>
      </w:r>
    </w:p>
    <w:p>
      <w:pPr>
        <w:pStyle w:val="ListParagraph"/>
        <w:numPr>
          <w:ilvl w:val="0"/>
          <w:numId w:val="3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Lightweight hybrid architecture.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ResNet-style CNN stem extracts local features and provides high-resolution skip connections; a vision-transformer bottleneck captures volumetric long-range dependencies with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million parameters.</w:t>
      </w:r>
    </w:p>
    <w:p>
      <w:pPr>
        <w:pStyle w:val="ListParagraph"/>
        <w:numPr>
          <w:ilvl w:val="0"/>
          <w:numId w:val="3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3D masked image modeling on multi-modal MRI.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Following MAE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[14]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SimMIM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[15]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75% of 3D patches are masked and reconstructed before fine-tuning. Unlike self pre-training of a plain ViT on the target data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[16]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masking is applied before the CNN stem of a hybrid encoder, and its effect on accuracy and label efficiency is measured (Section 6).</w:t>
      </w:r>
    </w:p>
    <w:p>
      <w:pPr>
        <w:pStyle w:val="ListParagraph"/>
        <w:numPr>
          <w:ilvl w:val="0"/>
          <w:numId w:val="3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Joint multi-task learning.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One model outputs tumor presence, WT/TC/ET masks and an LGG/HGG grade.</w:t>
      </w:r>
    </w:p>
    <w:p>
      <w:pPr>
        <w:pStyle w:val="ListParagraph"/>
        <w:numPr>
          <w:ilvl w:val="0"/>
          <w:numId w:val="3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Uncertainty via Monte Carlo dropout.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stochastic passes give a voxel-wise epistemic uncertainty map; we test whether it tracks segmentation error and how it affects calibration.</w:t>
      </w:r>
    </w:p>
    <w:p>
      <w:pPr>
        <w:pStyle w:val="ListParagraph"/>
        <w:numPr>
          <w:ilvl w:val="0"/>
          <w:numId w:val="3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Attention-based explanations.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Attention weights from the last transformer block give a saliency map, evaluated quantitatively against reference masks.</w:t>
      </w:r>
    </w:p>
    <w:p>
      <w:pPr>
        <w:pStyle w:val="ListParagraph"/>
        <w:numPr>
          <w:ilvl w:val="0"/>
          <w:numId w:val="3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Reproducible comparison.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All baselines are re-trained on identical splits and preprocessing; results include confidence intervals and paired significance tests; code, splits and weights are released.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2 reviews related work, Section 3 describes BrainHybridNet, Section 4 the experimental setup, Section 5 the results, Section 6 the ablations, Section 7 the discussion and Section 8 concludes.</w:t>
      </w:r>
    </w:p>
    <w:p>
      <w:pPr>
        <w:keepNext/>
        <w:spacing w:before="280" w:after="120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sz w:val="26"/>
          <w:szCs w:val="26"/>
        </w:rPr>
        <w:t xml:space="preserve">2 Related work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2.1 CNN-based brain tumor segmentation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U-Net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[5]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established encoder–decoder segmentation with skip connections, and 3D U-Net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[6]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extended it to volumes. SegResNet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[17]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winner of BraTS 2018, uses a residual encoder with variational auto-encoder regularization. MONAI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[18]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provides optimized implementations of these models. nnU-Net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[19]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configures U-Net pipelines automatically and remains a strong baseline.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2.2 Transformer-based methods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vision transformer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[7]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matches CNNs when trained at scale. TransUNet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[10]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uses a transformer bottleneck in a U-Net. The Swin transformer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[20]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computes attention in shifted windows; SwinUNETR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[21]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applies it to 3D brain tumor segmentation, UNETR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[22]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uses a pure transformer encoder, and TransBTS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[23]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combines a 3D CNN encoder with a transformer for BraTS. These models need substantial GPU memory.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2.3 Hybrid CNN–transformer architectures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MedT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[24]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uses gated axial attention, UCTransNet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[25]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replaces skip connections with channel transformers and D-Former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[26]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uses dilated attention for 3D segmentation. BrainHybridNet combines an explicit CNN stem, a small transformer with learned 3D positional embeddings and a U-Net decoder in one multi-task model.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2.4 Self-supervised learning in medical imaging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Contrastive methods such as SimCLR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[27]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DINO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[28]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have been adapted to medical images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[29]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Masked autoencoders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[14]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learn by reconstructing a large fraction (75%) of masked patches. Zhou et al.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[16]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showed that MAE self pre-training on the target dataset improves segmentation, including BraTS. Swin UNETR pre-training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[21]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combines several proxy tasks on CT.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2.5 Uncertainty estimation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Uncertainty in deep learning has been approached with Bayesian methods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[30]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deep ensembles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[31]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Monte Carlo dropout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[11]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Nair et al.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[32]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found that uncertain regions in multiple-sclerosis lesion segmentation coincide with errors, and Roy et al.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[33]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used Monte Carlo sampling for segmentation quality control.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2.6 Glioma grading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2021 WHO classification combines histological and molecular markers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[34]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MRI-based grading and molecular prediction have been studied with radiomics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[35]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CNNs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[36]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typically as pipelines separate from segmentation.</w:t>
      </w:r>
    </w:p>
    <w:p>
      <w:pPr>
        <w:keepNext/>
        <w:spacing w:before="280" w:after="120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sz w:val="26"/>
          <w:szCs w:val="26"/>
        </w:rPr>
        <w:t xml:space="preserve">3 Method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3.1 Overview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Fig. 1 shows BrainHybridNet. It consists of (1) a sequence-attention block and CNN stem, (2) a transformer encoder on the CNN features, (3) a U-Net decoder fusing the CNN skip features and (4) task heads for segmentation, detection and grading. An optional masked-image-modeling stage pre-trains the encoder.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667375" cy="2838450"/>
            <wp:effectExtent t="0" r="0" b="0" l="0"/>
            <wp:docPr id="1" name="fig1" descr="BrainHybridNet. A squeeze-and-excitation block weights the four MRI sequences; a two-stage CNN stem produces skip features c_{1} and c_{2}; 512 tokens from 8^{3} patches of c_{2} pass through four tra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Fig. 1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BrainHybridNet. A squeeze-and-excitation block weights the four MRI sequences; a two-stage CNN stem produces skip features c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and c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; 512 tokens from 8</w:t>
      </w:r>
      <w:r>
        <w:rPr>
          <w:rFonts w:ascii="Times New Roman" w:cs="Times New Roman" w:eastAsia="Times New Roman" w:hAnsi="Times New Roman"/>
          <w:sz w:val="18"/>
          <w:szCs w:val="1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patches of c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pass through four transformer blocks. Mean-pooled tokens feed the detection and grade heads; the decoder upsamples the token grid and fuses c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and c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before the WT/TC/ET segmentation head. Monte Carlo dropout gives an uncertainty map and last-block attention a saliency map.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3.2 Input preprocessing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input is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∈ ℝ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B×4×D×H×W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BraTS 2021 volumes are skull-stripped, co-registered to the SRI24 atlas and resampled to 1 mm isotropic resolution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[37]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so no further registration is applied. Each sequence is z-score normalized over non-zero (brain) voxels and cropped to the brain bounding box. Training uses random 128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crops; with probability 0.66 a crop is centered on a random tumor voxel. Inference on whole volumes uses sliding windows of the same size with 50% overlap and Gaussian weighting.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3.3 Sequence attention and CNN stem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squeeze-and-excitation block re-weights the four sequences. The CNN stem has two stages without max-pooling:</w:t>
      </w:r>
    </w:p>
    <w:p>
      <w:pPr>
        <w:tabs>
          <w:tab w:val="center" w:pos="4513"/>
          <w:tab w:val="right" w:pos="9026"/>
        </w:tabs>
        <w:spacing w:before="80" w:after="8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= ReLU(BN(Conv3D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3,1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X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))) ∈ ℝ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perscript"/>
        </w:rPr>
        <w:t xml:space="preserve">B×32×D×H×W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(1)</w:t>
      </w:r>
    </w:p>
    <w:p>
      <w:pPr>
        <w:tabs>
          <w:tab w:val="center" w:pos="4513"/>
          <w:tab w:val="right" w:pos="9026"/>
        </w:tabs>
        <w:spacing w:before="80" w:after="8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= ReLU(BN(Conv3D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3,2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))) ∈ ℝ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perscript"/>
        </w:rPr>
        <w:t xml:space="preserve">B×64×D/2×H/2×W/2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(2)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the subscripts give kernel size and stride.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are the decoder’s skip connections.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3.4 Transformer encoder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strided convolution splits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into non-overlapping 8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patches, giving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(D/16)(H/16)(W/16) tokens of dimension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128 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512 for a 128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crop), to which learned positional embeddings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∈ ℝ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1×N×E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are added:</w:t>
      </w:r>
    </w:p>
    <w:p>
      <w:pPr>
        <w:tabs>
          <w:tab w:val="center" w:pos="4513"/>
          <w:tab w:val="right" w:pos="9026"/>
        </w:tabs>
        <w:spacing w:before="80" w:after="8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= Flatten(Conv3D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8,8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))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perscript"/>
        </w:rPr>
        <w:t xml:space="preserve">⊤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(3)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4 pre-norm transformer blocks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[8, 38]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with 4 heads, MLP ratio 4, GELU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[39]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dropout 0.1 follow:</w:t>
      </w:r>
    </w:p>
    <w:p>
      <w:pPr>
        <w:tabs>
          <w:tab w:val="center" w:pos="4513"/>
          <w:tab w:val="right" w:pos="9026"/>
        </w:tabs>
        <w:spacing w:before="80" w:after="8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′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+ MHSA(LN(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)),  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l+1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′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+ MLP(LN(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′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))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(4)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and a final layer normalization gives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∈ ℝ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B×N×E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3.5 Masked image modeling pre-training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Pre-training follows SimMIM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[15]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in 3D. A fraction ρ = 0.75 of token positions is masked at random. The corresponding 16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input regions are zeroed before the CNN stem, so masked content cannot leak through the convolutions, and masked tokens are replaced by a learned mask embedding. A linear head maps each output token to the 4 × 16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voxels of its region. The loss is the mean squared error to per-patch normalized targets over the masked set ℳ:</w:t>
      </w:r>
    </w:p>
    <w:p>
      <w:pPr>
        <w:tabs>
          <w:tab w:val="center" w:pos="4513"/>
          <w:tab w:val="right" w:pos="9026"/>
        </w:tabs>
        <w:spacing w:before="80" w:after="8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ℒ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MIM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= (1/|ℳ|) Σ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i∈ℳ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‖x̂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− norm(x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)‖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/ (4·16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(5)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Pre-training uses only the training folds of each cross-validation split; the reconstruction head is discarded before fine-tuning.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3.6 Decoder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tokens are reshaped to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vol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∈ ℝ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B×E×D/16×H/16×W/16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passed through 3D dropout (0.1). Three upsampling stages (stride-2 transposed convolution followed by a residual squeeze-and-excitation block, ResSE) restore the resolution of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which is concatenated before the third ResSE block; a fourth stage upsamples to full resolution and fuses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</w:t>
      </w:r>
    </w:p>
    <w:p>
      <w:pPr>
        <w:tabs>
          <w:tab w:val="center" w:pos="4513"/>
          <w:tab w:val="right" w:pos="9026"/>
        </w:tabs>
        <w:spacing w:before="80" w:after="8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= ResSE([Up(Up(Up(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vol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))),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]) ∈ ℝ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perscript"/>
        </w:rPr>
        <w:t xml:space="preserve">B×64×D/2×H/2×W/2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(6)</w:t>
      </w:r>
    </w:p>
    <w:p>
      <w:pPr>
        <w:tabs>
          <w:tab w:val="center" w:pos="4513"/>
          <w:tab w:val="right" w:pos="9026"/>
        </w:tabs>
        <w:spacing w:before="80" w:after="8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= ResSE([Up(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]) ∈ ℝ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perscript"/>
        </w:rPr>
        <w:t xml:space="preserve">B×32×D×H×W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(7)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3.7 Task heads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Segmentation: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1×1×1 convolution gives three channels (WT, TC, ET), each with a sigmoid.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Detection: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mean-pooled tokens z̄ = mean(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feed Linear(E,128) → ReLU → Dropout(0.1) → Linear(128,2). BraTS has no tumor-free subjects, so detection is trained at crop level: a crop is positive if it contains at least 100 whole-tumor voxels.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Grading: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Linear(E,64) → ReLU → Dropout(0.1) → Linear(64,2) predicts LGG versus HGG; subjects without a grade label are ignored by this loss.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3.8 Uncertainty estimation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inference, batch normalization stays in evaluation mode and dropout stays active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[11]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20 stochastic sliding-window passes give</w:t>
      </w:r>
    </w:p>
    <w:p>
      <w:pPr>
        <w:tabs>
          <w:tab w:val="center" w:pos="4513"/>
          <w:tab w:val="right" w:pos="9026"/>
        </w:tabs>
        <w:spacing w:before="80" w:after="8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μ = (1/T) Σ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t=1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perscript"/>
        </w:rPr>
        <w:t xml:space="preserve">T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σ(Ŷ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perscript"/>
        </w:rPr>
        <w:t xml:space="preserve">(t)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),   σ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= (1/T) Σ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t=1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perscript"/>
        </w:rPr>
        <w:t xml:space="preserve">T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(σ(Ŷ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perscript"/>
        </w:rPr>
        <w:t xml:space="preserve">(t)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) − μ)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(8)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σ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the voxel-wise epistemic uncertainty map.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3.9 Training objective and optimization</w:t>
      </w:r>
    </w:p>
    <w:p>
      <w:pPr>
        <w:tabs>
          <w:tab w:val="center" w:pos="4513"/>
          <w:tab w:val="right" w:pos="9026"/>
        </w:tabs>
        <w:spacing w:before="80" w:after="8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ℒ = λ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ℒ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seg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+ λ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ℒ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det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+ λ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ℒ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grade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,   λ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= 0.6, λ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= λ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 = 0.2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(9)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ℒ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det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ℒ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grade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are cross-entropy losses. ℒ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seg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the Tversky loss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[40]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averaged over the three region channels:</w:t>
      </w:r>
    </w:p>
    <w:p>
      <w:pPr>
        <w:tabs>
          <w:tab w:val="center" w:pos="4513"/>
          <w:tab w:val="right" w:pos="9026"/>
        </w:tabs>
        <w:spacing w:before="80" w:after="8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TL = 1 − (TP + ε) / (TP + α·FP + β·FN + ε),   α = 0.3, β = 0.7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(10)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which penalizes false negatives more than false positives. The loss weights were fixed before training; their sensitivity is reported in Section 6.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Optimization uses AdamW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[41]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(learning rate 10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−4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weight decay 10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−4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gradient clipping at norm 1.0), 10 warm-up epochs followed by cosine decay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[42]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300 fine-tuning epochs and 100 pre-training epochs (learning rate 1.5 × 10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−4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batch size 2 with mixed precision. Augmentation: random flips along each axis (p = 0.5), per-sequence intensity scaling (0.9–1.1) and shift (±0.1), Gaussian noise (σ = 0.01, p = 0.2). The checkpoint with the highest mean validation Dice of each fold is kept.</w:t>
      </w:r>
    </w:p>
    <w:p>
      <w:pPr>
        <w:keepNext/>
        <w:spacing w:before="280" w:after="120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sz w:val="26"/>
          <w:szCs w:val="26"/>
        </w:rPr>
        <w:t xml:space="preserve">4 Experimental setup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4.1 Data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BraTS 2021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[37]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1,251 subjects with expert segmentations and four co-registered sequences (240 × 240 × 155 voxels at 1 mm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). Labels are background (0), necrotic core (1), edema (2) and enhancing tumor (4); WT = 1 ∪ 2 ∪ 4, TC = 1 ∪ 4, ET = 4.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Splits.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fixed subject-level hold-out test set of 15% of subjects (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n]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subjects) is used once, for the final results. The remaining subjects form 5 cross-validation folds shared by every model, baseline and ablation; the split file is released with the code.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Grading data.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BraTS 2021 has no histological grades. Grading is trained and evaluated on UCSF-PDGM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[43]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(WHO grade for preoperative diffuse gliomas) with its own subject-level split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confirm]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which also serves as an external segmentation test set without retraining.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4.2 Metrics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Segmentation: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Dice and 95th-percentile Hausdorff distance (HD95, mm) per region, sensitivity and specificity. Following BraTS, Dice = 1 and HD95 = 0 when prediction and reference are both empty, and HD95 = 373.13 mm when only one is empty.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Detection and grading: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AUC, accuracy, balanced accuracy, sensitivity, specificity.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Calibration and uncertainty: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voxel-level expected calibration error (15 bins) and reliability diagrams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[44]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Spearman correlation between case-level mean uncertainty and 1 − Dice.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Efficiency: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parameters, multiply–accumulate operations, median latency per 128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crop and peak GPU memory on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GPU]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Statistics: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mean ± standard deviation over cases and 95% bootstrap confidence intervals (10,000 resamples); paired Wilcoxon signed-rank tests against the strongest baseline with Holm correction. Reporting follows the CLAIM checklist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[45]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(Supplementary Material).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4.3 Baselines and implementation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baselines—3D U-Net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[6]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SegResNet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[17]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UNETR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[22]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SwinUNETR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[21]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(MONAI implementations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[18]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and nnU-Net v2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[19]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(default pipeline)—are re-trained by us on the same folds with the same crops, preprocessing, augmentation, loss and schedule; no numbers are copied from other publications. Models are implemented in PyTorch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[46]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with PyTorch Lightning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[47]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Experiments ran on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hardware]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pre-training took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 and fine-tuning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 per fold.</w:t>
      </w:r>
    </w:p>
    <w:p>
      <w:pPr>
        <w:keepNext/>
        <w:spacing w:before="280" w:after="120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sz w:val="26"/>
          <w:szCs w:val="26"/>
        </w:rPr>
        <w:t xml:space="preserve">5 Results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5.1 Segmentation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1 lists the test-set results and Table 2 the cross-validation results.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describe the measured differences only]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1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Segmentation on the BraTS 2021 hold-out test set (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[TBD]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subjects), mean ± SD. Best value per column in bold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3"/>
        <w:gridCol w:w="714"/>
        <w:gridCol w:w="714"/>
        <w:gridCol w:w="714"/>
        <w:gridCol w:w="714"/>
        <w:gridCol w:w="714"/>
        <w:gridCol w:w="714"/>
        <w:gridCol w:w="804"/>
        <w:gridCol w:w="714"/>
        <w:gridCol w:w="901"/>
      </w:tblGrid>
      <w:tr>
        <w:trPr>
          <w:tblHeader/>
        </w:trPr>
        <w:tc>
          <w:tcPr>
            <w:tcW w:type="dxa" w:w="2323"/>
            <w:gridSpan w:val="1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142"/>
            <w:gridSpan w:val="3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Dice ↑</w:t>
            </w:r>
          </w:p>
        </w:tc>
        <w:tc>
          <w:tcPr>
            <w:tcW w:type="dxa" w:w="2142"/>
            <w:gridSpan w:val="3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HD95 (mm) ↓</w:t>
            </w:r>
          </w:p>
        </w:tc>
        <w:tc>
          <w:tcPr>
            <w:tcW w:type="dxa" w:w="804"/>
            <w:gridSpan w:val="1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Params (M)</w:t>
            </w:r>
          </w:p>
        </w:tc>
        <w:tc>
          <w:tcPr>
            <w:tcW w:type="dxa" w:w="714"/>
            <w:gridSpan w:val="1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GMACs</w:t>
            </w:r>
          </w:p>
        </w:tc>
        <w:tc>
          <w:tcPr>
            <w:tcW w:type="dxa" w:w="901"/>
            <w:gridSpan w:val="1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Latency (ms)</w:t>
            </w:r>
          </w:p>
        </w:tc>
      </w:tr>
      <w:tr>
        <w:trPr>
          <w:tblHeader/>
        </w:trPr>
        <w:tc>
          <w:tcPr>
            <w:tcW w:type="dxa" w:w="2323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WT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ET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WT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ET</w:t>
            </w:r>
          </w:p>
        </w:tc>
        <w:tc>
          <w:tcPr>
            <w:tcW w:type="dxa" w:w="80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</w:p>
        </w:tc>
        <w:tc>
          <w:tcPr>
            <w:tcW w:type="dxa" w:w="901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</w:p>
        </w:tc>
      </w:tr>
      <w:tr>
        <w:trPr>
          <w:tblHeader w:val="false"/>
        </w:trPr>
        <w:tc>
          <w:tcPr>
            <w:tcW w:type="dxa" w:w="232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3D U-Net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[6]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80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9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232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SegResNet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[17]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80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9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232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UNETR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[22]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80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9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232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SwinUNETR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[21]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80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9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232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nnU-Net v2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[19]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80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90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2323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BrainHybridNet (ours)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80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71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901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</w:tbl>
    <w:p>
      <w:pPr>
        <w:spacing w:before="40" w:after="1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Significance versus the strongest baseline (Wilcoxon, Holm-corrected): </w:t>
      </w:r>
      <w:r>
        <w:rPr>
          <w:rFonts w:ascii="Times New Roman" w:cs="Times New Roman" w:eastAsia="Times New Roman" w:hAnsi="Times New Roman"/>
          <w:b/>
          <w:bCs/>
          <w:color w:val="C00000"/>
          <w:sz w:val="16"/>
          <w:szCs w:val="16"/>
        </w:rPr>
        <w:t xml:space="preserve">[TBD]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2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Five-fold cross-validation, mean ± SD of fold means (Dice)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805"/>
        <w:gridCol w:w="1805"/>
        <w:gridCol w:w="1806"/>
      </w:tblGrid>
      <w:tr>
        <w:trPr>
          <w:tblHeader/>
        </w:trPr>
        <w:tc>
          <w:tcPr>
            <w:tcW w:type="dxa" w:w="3610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805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WT</w:t>
            </w:r>
          </w:p>
        </w:tc>
        <w:tc>
          <w:tcPr>
            <w:tcW w:type="dxa" w:w="1805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1806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ET</w:t>
            </w:r>
          </w:p>
        </w:tc>
      </w:tr>
      <w:tr>
        <w:trPr>
          <w:tblHeader w:val="false"/>
        </w:trPr>
        <w:tc>
          <w:tcPr>
            <w:tcW w:type="dxa" w:w="36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Best baseline (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80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80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80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3610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BrainHybridNet</w:t>
            </w:r>
          </w:p>
        </w:tc>
        <w:tc>
          <w:tcPr>
            <w:tcW w:type="dxa" w:w="1805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805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806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5.2 Detection and grading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3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Crop-level tumor detection (BraTS test set) and LGG/HGG grading (UCSF-PDGM test split)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263"/>
        <w:gridCol w:w="1263"/>
        <w:gridCol w:w="1263"/>
        <w:gridCol w:w="1263"/>
        <w:gridCol w:w="1267"/>
      </w:tblGrid>
      <w:tr>
        <w:trPr>
          <w:tblHeader/>
        </w:trPr>
        <w:tc>
          <w:tcPr>
            <w:tcW w:type="dxa" w:w="2707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</w:p>
        </w:tc>
        <w:tc>
          <w:tcPr>
            <w:tcW w:type="dxa" w:w="1263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Det. AUC</w:t>
            </w:r>
          </w:p>
        </w:tc>
        <w:tc>
          <w:tcPr>
            <w:tcW w:type="dxa" w:w="1263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Sens.</w:t>
            </w:r>
          </w:p>
        </w:tc>
        <w:tc>
          <w:tcPr>
            <w:tcW w:type="dxa" w:w="1263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Spec.</w:t>
            </w:r>
          </w:p>
        </w:tc>
        <w:tc>
          <w:tcPr>
            <w:tcW w:type="dxa" w:w="1263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Grade AUC</w:t>
            </w:r>
          </w:p>
        </w:tc>
        <w:tc>
          <w:tcPr>
            <w:tcW w:type="dxa" w:w="1267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Grade bal. acc.</w:t>
            </w:r>
          </w:p>
        </w:tc>
      </w:tr>
      <w:tr>
        <w:trPr>
          <w:tblHeader w:val="false"/>
        </w:trPr>
        <w:tc>
          <w:tcPr>
            <w:tcW w:type="dxa" w:w="2707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BrainHybridNet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7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5.3 Calibration and uncertainty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voxel ECE with and without Monte Carlo dropout and for the baselines; reliability diagram (Fig. 2); Spearman ρ between case-level uncertainty and 1 − Dice with p-value]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5.4 External validation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segmentation on UCSF-PDGM without retraining]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5.5 Qualitative results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Fig. 3 – predictions, references, uncertainty and attention maps for representative successes and failures]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before="280" w:after="120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sz w:val="26"/>
          <w:szCs w:val="26"/>
        </w:rPr>
        <w:t xml:space="preserve">6 Ablation study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4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Ablations, 5-fold cross-validation on the development set (Dice)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1"/>
        <w:gridCol w:w="1263"/>
        <w:gridCol w:w="1263"/>
        <w:gridCol w:w="1263"/>
        <w:gridCol w:w="1266"/>
      </w:tblGrid>
      <w:tr>
        <w:trPr>
          <w:tblHeader/>
        </w:trPr>
        <w:tc>
          <w:tcPr>
            <w:tcW w:type="dxa" w:w="3971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263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WT</w:t>
            </w:r>
          </w:p>
        </w:tc>
        <w:tc>
          <w:tcPr>
            <w:tcW w:type="dxa" w:w="1263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tcW w:type="dxa" w:w="1263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ET</w:t>
            </w:r>
          </w:p>
        </w:tc>
        <w:tc>
          <w:tcPr>
            <w:tcW w:type="dxa" w:w="1266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Params (M)</w:t>
            </w:r>
          </w:p>
        </w:tc>
      </w:tr>
      <w:tr>
        <w:trPr>
          <w:tblHeader w:val="false"/>
        </w:trPr>
        <w:tc>
          <w:tcPr>
            <w:tcW w:type="dxa" w:w="397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CNN only (no transformer)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397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Transformer path only (no CNN skips)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397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sequence attention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397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Segmentation only (no multi-task)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397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self-supervised pre-training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3971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BrainHybridNet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3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  <w:tc>
          <w:tcPr>
            <w:tcW w:type="dxa" w:w="1266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8"/>
                <w:szCs w:val="18"/>
              </w:rPr>
              <w:t xml:space="preserve">[TBD]</w:t>
            </w:r>
          </w:p>
        </w:tc>
      </w:tr>
    </w:tbl>
    <w:p>
      <w:pPr>
        <w:spacing w:before="40" w:after="1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Configuration files: abl_cnn_only, abl_no_skips, abl_no_se, abl_no_multitask, hybrid (with and without pre-training).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masking ratio (0.25/0.5/0.75/0.9), number of transformer layers (2/4/6/8) and loss-weight sensitivity, three seeds each]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before="280" w:after="120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sz w:val="26"/>
          <w:szCs w:val="26"/>
        </w:rPr>
        <w:t xml:space="preserve">7 Discussion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7.1 Clinical implications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model that segments, detects and grades in one pass could shorten reading time if its accuracy matches dedicated models; the uncertainty map is intended to direct review to ambiguous regions, which requires the correlation shown in Section 5.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interpret the measured results]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7.2 Pre-training and data efficiency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effect of masked image modeling, including reduced-label experiments with 10% and 25% of labeled subjects]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7.3 Explainability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overlap or pointing-game evaluation of attention maps against reference masks]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7.4 Limitations</w:t>
      </w:r>
    </w:p>
    <w:p>
      <w:pPr>
        <w:pStyle w:val="ListParagraph"/>
        <w:numPr>
          <w:ilvl w:val="0"/>
          <w:numId w:val="4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External validation is limited to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WHO CNS5 classification uses IDH and other molecular markers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[34]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the grading head uses imaging only.</w:t>
      </w:r>
    </w:p>
    <w:p>
      <w:pPr>
        <w:pStyle w:val="ListParagraph"/>
        <w:numPr>
          <w:ilvl w:val="0"/>
          <w:numId w:val="4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Pre-training uses only BraTS training folds; larger unlabeled corpora may help.</w:t>
      </w:r>
    </w:p>
    <w:p>
      <w:pPr>
        <w:pStyle w:val="ListParagraph"/>
        <w:numPr>
          <w:ilvl w:val="0"/>
          <w:numId w:val="4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BraTS has no tumor-free subjects, so detection is evaluated at crop level, not on healthy scans.</w:t>
      </w:r>
    </w:p>
    <w:p>
      <w:pPr>
        <w:pStyle w:val="ListParagraph"/>
        <w:numPr>
          <w:ilvl w:val="0"/>
          <w:numId w:val="4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BraTS labels have known inter-rater variability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[3]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before="20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7.5 Future work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Federated training across hospitals, longitudinal response assessment, pediatric tumors, robustness to missing sequences, fusion with molecular data and a prospective reader study.</w:t>
      </w:r>
    </w:p>
    <w:p>
      <w:pPr>
        <w:keepNext/>
        <w:spacing w:before="280" w:after="120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sz w:val="26"/>
          <w:szCs w:val="26"/>
        </w:rPr>
        <w:t xml:space="preserve">8 Conclusion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presented BrainHybridNet, a lightweight hybrid CNN–transformer for joint brain tumor segmentation, detection and grading from multi-modal MRI, with masked image modeling pre-training and Monte Carlo dropout uncertainty.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one sentence summarizing measured accuracy, efficiency and calibration relative to the baselines]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Code, configurations, splits and weights are released to reproduce every reported number.</w:t>
      </w:r>
    </w:p>
    <w:p>
      <w:pPr>
        <w:keepNext/>
        <w:spacing w:before="240" w:after="1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Supplementary information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CLAIM checklist; per-fold results; additional qualitative examples.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confirm contents]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before="240" w:after="1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Acknowledgements</w:t>
      </w:r>
    </w:p>
    <w:p>
      <w:pPr>
        <w:spacing w:line="300"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acknowledgements, or remove this heading]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before="240" w:after="1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Declarations</w:t>
      </w:r>
    </w:p>
    <w:p>
      <w:pPr>
        <w:pStyle w:val="ListParagraph"/>
        <w:numPr>
          <w:ilvl w:val="0"/>
          <w:numId w:val="5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Funding: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This research did not receive any specific grant from funding agencies in the public, commercial or not-for-profit sectors.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confirm]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Competing interests: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authors declare no competing interests.</w:t>
      </w:r>
    </w:p>
    <w:p>
      <w:pPr>
        <w:pStyle w:val="ListParagraph"/>
        <w:numPr>
          <w:ilvl w:val="0"/>
          <w:numId w:val="5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Ethics approval and consent to participate: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Not applicable. This study uses publicly available, de-identified datasets (BraTS 2021, UCSF-PDGM) under their data-use terms; no new data were collected.</w:t>
      </w:r>
    </w:p>
    <w:p>
      <w:pPr>
        <w:pStyle w:val="ListParagraph"/>
        <w:numPr>
          <w:ilvl w:val="0"/>
          <w:numId w:val="5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Consent for publication: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Not applicable.</w:t>
      </w:r>
    </w:p>
    <w:p>
      <w:pPr>
        <w:pStyle w:val="ListParagraph"/>
        <w:numPr>
          <w:ilvl w:val="0"/>
          <w:numId w:val="5"/>
        </w:numPr>
        <w:spacing w:line="300"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availability: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BraTS 2021 is available at https://www.synapse.org/#!Synapse:syn27046444. UCSF-PDGM is available through The Cancer Imaging Archive under its data-use agreement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[43]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Materials availability: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Not applicable.</w:t>
      </w:r>
    </w:p>
    <w:p>
      <w:pPr>
        <w:pStyle w:val="ListParagraph"/>
        <w:numPr>
          <w:ilvl w:val="0"/>
          <w:numId w:val="5"/>
        </w:numPr>
        <w:spacing w:line="300"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 availability: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Code, configuration files, data splits and trained weights are available at https://github.com/Debobrato06/BrainTumorDetection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release tag / DOI, e.g. Zenodo]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line="30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Author contribution: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D.B.: conceptualization, methodology, software, validation, writing – original draft.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co-author initials]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writing – review and editing, visualization.</w:t>
      </w:r>
    </w:p>
    <w:p>
      <w:pPr>
        <w:keepNext/>
        <w:spacing w:before="240" w:after="1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References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Stupp, R., Mason, W.P., van den Bent, M.J., et al.: Radiotherapy plus concomitant and adjuvant temozolomide for glioblastoma.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New England Journal of Medicine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352(10), 987–996 (2005)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https://doi.org/10.1056/NEJMoa043330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Sung, H., Ferlay, J., Siegel, R.L., et al.: Global cancer statistics 2020: GLOBOCAN estimates of incidence and mortality worldwide for 36 cancers in 185 countries.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CA: A Cancer Journal for Clinicians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71(3), 209–249 (2021)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https://doi.org/10.3322/caac.21660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Menze, B.H., Jakab, A., Bauer, S., et al.: The multimodal brain tumor image segmentation benchmark (BRATS).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IEEE Transactions on Medical Imaging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34(10), 1993–2024 (2015)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https://doi.org/10.1109/TMI.2014.2377694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Gordillo, N., Montseny, E., Sobrevilla, P.: State of the art survey on MRI brain tumor segmentation.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Magnetic Resonance Imaging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31(8), 1426–1438 (2013)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https://doi.org/10.1016/j.mri.2013.05.002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Ronneberger, O., Fischer, P., Brox, T.: U-Net: Convolutional networks for biomedical image segmentation.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Medical Image Computing and Computer-Assisted Intervention – MICCAI 2015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LNCS, vol. 9351, pp. 234–241. Springer (2015)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https://doi.org/10.1007/978-3-319-24574-4_28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Çiçek, Ö., Abdulkadir, A., Lienkamp, S.S., Brox, T., Ronneberger, O.: 3D U-Net: Learning dense volumetric segmentation from sparse annotation.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Medical Image Computing and Computer-Assisted Intervention – MICCAI 2016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LNCS, vol. 9901, pp. 424–432. Springer (2016)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https://doi.org/10.1007/978-3-319-46723-8_49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[7]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Dosovitskiy, A., Beyer, L., Kolesnikov, A., et al.: An image is worth 16x16 words: Transformers for image recognition at scale.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International Conference on Learning Representations (ICLR)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(2021)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arXiv:2010.11929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[8]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Vaswani, A., Shazeer, N., Parmar, N., et al.: Attention is all you need.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Advances in Neural Information Processing Systems (NeurIPS)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, vol. 30 (2017)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arXiv:1706.03762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[9]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Havaei, M., Davy, A., Warde-Farley, D., et al.: Brain tumor segmentation with deep neural networks.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Medical Image Analysis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35, 18–31 (2017)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https://doi.org/10.1016/j.media.2016.05.004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[10]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Chen, J., Lu, Y., Yu, Q., et al.: TransUNet: Transformers make strong encoders for medical image segmentation.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(2021)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arXiv:2102.04306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[11]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Gal, Y., Ghahramani, Z.: Dropout as a Bayesian approximation: Representing model uncertainty in deep learning.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Proceedings of the 33rd International Conference on Machine Learning (ICML)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, pp. 1050–1059 (2016)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arXiv:1506.02142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[12]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Litjens, G., Kooi, T., Bejnordi, B.E., et al.: A survey on deep learning in medical image analysis.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Medical Image Analysis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42, 60–88 (2017)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https://doi.org/10.1016/j.media.2017.07.005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[13]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Ker, J., Wang, L., Rao, J., Lim, T.: Deep learning applications in medical image analysis.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IEEE Access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6, 9375–9389 (2018)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https://doi.org/10.1109/ACCESS.2017.2788044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[14]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He, K., Chen, X., Xie, S., et al.: Masked autoencoders are scalable vision learners.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Proceedings of the IEEE/CVF Conference on Computer Vision and Pattern Recognition (CVPR)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, pp. 16000–16009 (2022)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arXiv:2111.06377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[15]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Xie, Z., Zhang, Z., Cao, Y., et al.: SimMIM: A simple framework for masked image modeling.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Proceedings of the IEEE/CVF Conference on Computer Vision and Pattern Recognition (CVPR)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, pp. 9653–9663 (2022)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arXiv:2111.09886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[16]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Zhou, L., Liu, H., Bae, J., He, J., Samaras, D., Prasanna, P.: Self pre-training with masked autoencoders for medical image classification and segmentation.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IEEE 20th International Symposium on Biomedical Imaging (ISBI)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(2023)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arXiv:2203.05573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[17]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Myronenko, A.: 3D MRI brain tumor segmentation using autoencoder regularization.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Brainlesion: Glioma, Multiple Sclerosis, Stroke and Traumatic Brain Injuries (BrainLes 2018)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LNCS, vol. 11384, pp. 311–320. Springer (2019)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https://doi.org/10.1007/978-3-030-11726-9_28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[18]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Cardoso, M.J., Li, W., Brown, R., et al.: MONAI: An open-source framework for deep learning in healthcare.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(2022)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arXiv:2211.02701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[19]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Isensee, F., Jaeger, P.F., Kohl, S.A.A., Petersen, J., Maier-Hein, K.H.: nnU-Net: a self-configuring method for deep learning-based biomedical image segmentation.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Nature Methods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18(2), 203–211 (2021)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https://doi.org/10.1038/s41592-020-01008-z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[20]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Liu, Z., Lin, Y., Cao, Y., et al.: Swin Transformer: Hierarchical vision transformer using shifted windows.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Proceedings of the IEEE/CVF International Conference on Computer Vision (ICCV)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, pp. 10012–10022 (2021)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arXiv:2103.14030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[21]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Tang, Y., Yang, D., Li, W., et al.: Self-supervised pre-training of Swin transformers for 3D medical image analysis.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Proceedings of the IEEE/CVF Conference on Computer Vision and Pattern Recognition (CVPR)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, pp. 20730–20740 (2022)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arXiv:2111.14791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[22]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Hatamizadeh, A., Tang, Y., Nath, V., et al.: UNETR: Transformers for 3D medical image segmentation.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Proceedings of the IEEE/CVF Winter Conference on Applications of Computer Vision (WACV)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, pp. 574–584 (2022)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arXiv:2103.10504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[23]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Wang, W., Chen, C., Ding, M., et al.: TransBTS: Multimodal brain tumor segmentation using transformer.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Medical Image Computing and Computer-Assisted Intervention – MICCAI 2021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LNCS, vol. 12901, pp. 109–119. Springer (2021)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https://doi.org/10.1007/978-3-030-87193-2_11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[24]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Valanarasu, J.M.J., Oza, P., Hacihaliloglu, I., Patel, V.M.: Medical Transformer: Gated axial-attention for medical image segmentation.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Medical Image Computing and Computer-Assisted Intervention – MICCAI 2021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LNCS, vol. 12901, pp. 36–46. Springer (2021)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https://doi.org/10.1007/978-3-030-87193-2_4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[25]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Wang, H., Cao, P., Wang, J., Zaiane, O.R.: UCTransNet: Rethinking the skip connections in U-Net from a channel-wise perspective with transformer.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Proceedings of the AAAI Conference on Artificial Intelligence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, vol. 36, pp. 2441–2449 (2022)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https://doi.org/10.1609/aaai.v36i3.20144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[26]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Wu, Y., Liao, K., Chen, J., Wang, J., Chen, D.Z., Gao, H., Wu, J.: D-Former: A U-shaped dilated transformer for 3D medical image segmentation.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Neural Computing and Applications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35, 1931–1944 (2023)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https://doi.org/10.1007/s00521-022-07859-1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[27]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Chen, T., Kornblith, S., Norouzi, M., Hinton, G.: A simple framework for contrastive learning of visual representations.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Proceedings of the 37th International Conference on Machine Learning (ICML)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, pp. 1597–1607 (2020)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arXiv:2002.05709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[28]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Caron, M., Touvron, H., Misra, I., et al.: Emerging properties in self-supervised vision transformers.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Proceedings of the IEEE/CVF International Conference on Computer Vision (ICCV)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, pp. 9650–9660 (2021)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arXiv:2104.14294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[29]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Sowrirajan, H., Yang, J., Ng, A.Y., Rajpurkar, P.: MoCo-CXR: MoCo pretraining improves representation and transferability of chest X-ray models.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(2021)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arXiv:2010.05352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[30]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Neal, R.M.: Bayesian Learning for Neural Networks.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Lecture Notes in Statistics, vol. 118. Springer, New York (1996)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https://doi.org/10.1007/978-1-4612-0745-0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[31]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Lakshminarayanan, B., Pritzel, A., Blundell, C.: Simple and scalable predictive uncertainty estimation using deep ensembles.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Advances in Neural Information Processing Systems (NeurIPS)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, vol. 30 (2017)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arXiv:1612.01474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[32]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Nair, T., Precup, D., Arnold, D.L., Arbel, T.: Exploring uncertainty measures in deep networks for multiple sclerosis lesion detection and segmentation.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Medical Image Analysis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59, 101557 (2020)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https://doi.org/10.1016/j.media.2019.101557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[33]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Roy, A.G., Conjeti, S., Navab, N., Wachinger, C.: Inherent brain segmentation quality control from fully ConvNet Monte Carlo sampling.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Medical Image Computing and Computer-Assisted Intervention – MICCAI 2018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LNCS, vol. 11070, pp. 664–672. Springer (2018)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https://doi.org/10.1007/978-3-030-00928-1_75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[34]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Louis, D.N., Perry, A., Wesseling, P., et al.: The 2021 WHO classification of tumors of the central nervous system: a summary.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Neuro-Oncology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23(8), 1231–1251 (2021)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https://doi.org/10.1093/neuonc/noab106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[35]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Zhou, M., Scott, J., Chaudhury, B., et al.: Radiomics in brain tumor: image assessment, quantitative feature descriptors, and machine-learning approaches.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American Journal of Neuroradiology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39(2), 208–216 (2018)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https://doi.org/10.3174/ajnr.A5391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[36]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Chang, K., Bai, H.X., Zhou, H., et al.: Residual convolutional neural network for the determination of IDH status in low- and high-grade gliomas from MR imaging.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Clinical Cancer Research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24(5), 1073–1081 (2018)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https://doi.org/10.1158/1078-0432.CCR-17-2236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[37]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Baid, U., Ghodasara, S., Mohan, S., et al.: The RSNA-ASNR-MICCAI BraTS 2021 benchmark on brain tumor segmentation and radiogenomic classification.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(2021)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arXiv:2107.02314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[38]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Ba, J.L., Kiros, J.R., Hinton, G.E.: Layer normalization.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(2016)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arXiv:1607.06450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[39]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Hendrycks, D., Gimpel, K.: Gaussian error linear units (GELUs).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(2016)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arXiv:1606.08415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[40]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Salehi, S.S.M., Erdogmus, D., Gholipour, A.: Tversky loss function for image segmentation using 3D fully convolutional deep networks.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Machine Learning in Medical Imaging (MLMI 2017)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LNCS, vol. 10541, pp. 379–387. Springer (2017)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https://doi.org/10.1007/978-3-319-67389-9_44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[41]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Loshchilov, I., Hutter, F.: Decoupled weight decay regularization.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International Conference on Learning Representations (ICLR)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(2019)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arXiv:1711.05101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[42]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Loshchilov, I., Hutter, F.: SGDR: Stochastic gradient descent with warm restarts.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International Conference on Learning Representations (ICLR)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(2017)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arXiv:1608.03983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[43]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Calabrese, E., Villanueva-Meyer, J.E., Rudie, J.D., et al.: The University of California San Francisco preoperative diffuse glioma MRI dataset.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Radiology: Artificial Intelligence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4(6), e220058 (2022)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https://doi.org/10.1148/ryai.220058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[44]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Guo, C., Pleiss, G., Sun, Y., Weinberger, K.Q.: On calibration of modern neural networks.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Proceedings of the 34th International Conference on Machine Learning (ICML)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, pp. 1321–1330 (2017)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arXiv:1706.04599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[45]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Mongan, J., Moy, L., Kahn, C.E.: Checklist for Artificial Intelligence in Medical Imaging (CLAIM): a guide for authors and reviewers.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Radiology: Artificial Intelligence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2(2), e200029 (2020)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https://doi.org/10.1148/ryai.2020200029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[46]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Paszke, A., Gross, S., Massa, F., et al.: PyTorch: An imperative style, high-performance deep learning library.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In: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Advances in Neural Information Processing Systems (NeurIPS)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, vol. 32 (2019)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arXiv:1912.01703</w:t>
      </w:r>
    </w:p>
    <w:p>
      <w:pPr>
        <w:tabs>
          <w:tab w:val="left" w:pos="560"/>
        </w:tabs>
        <w:spacing w:after="60" w:line="240"/>
        <w:ind w:left="560" w:hanging="5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[47]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Falcon, W., The PyTorch Lightning team: PyTorch Lightning. 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(2019)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https://github.com/Lightning-AI/pytorch-lightning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6d50862e7b4df78ee522f817f3c054cbd70c759c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BrainHybridNet: A Lightweight Hybrid CNN–Transformer with Self-Supervised Pre-training and Uncertainty Estimation for Joint Brain Tumor Segmentation, Detection and Grading from Multi-Modal MRI</dc:title>
  <dc:creator>Debobrato Biswas</dc:creator>
  <cp:lastModifiedBy>Un-named</cp:lastModifiedBy>
  <cp:revision>1</cp:revision>
  <dcterms:created xsi:type="dcterms:W3CDTF">2026-10-26T03:01:02.619Z</dcterms:created>
  <dcterms:modified xsi:type="dcterms:W3CDTF">2026-10-26T03:01:02.621Z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