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4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16"/>
          <w:szCs w:val="16"/>
        </w:rPr>
        <w:t xml:space="preserve">DRAFT — every red [TBD] must be filled from experiment outputs before submission</w:t>
      </w:r>
    </w:p>
    <w:p>
      <w:pPr>
        <w:spacing w:after="200" w:line="260"/>
        <w:jc w:val="center"/>
      </w:pPr>
      <w:r>
        <w:rPr>
          <w:rFonts w:ascii="Times New Roman" w:cs="Times New Roman" w:eastAsia="Times New Roman" w:hAnsi="Times New Roman"/>
          <w:sz w:val="44"/>
          <w:szCs w:val="44"/>
        </w:rPr>
        <w:t xml:space="preserve">BrainHybridNet: A Lightweight Hybrid CNN–Transformer for Joint Brain Tumor Segmentation, Detection and Grading with Self-Supervised Pre-training and Uncertainty Estimation</w:t>
      </w:r>
    </w:p>
    <w:p>
      <w:pPr>
        <w:spacing w:after="200" w:line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Debobrato Biswas,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IEEE membership or remove]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[TBD: co-author names]</w:t>
      </w:r>
    </w:p>
    <w:p>
      <w:pPr>
        <w:spacing w:after="100" w:line="23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Abstract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Objective: Automated brain tumor analysis from magnetic resonance images usually requires separate models for segmentation, detection and grading, and most report no measure of confidence. We present a single lightweight model that performs all three tasks and estimates its own uncertainty. Methods: The proposed network combines a two-stage convolutional stem, which preserves high-resolution detail, with a four-layer transformer that models long-range volumetric context. In one forward pass it segments the whole tumor, tumor core and enhancing tumor, detects tumor presence and predicts low- versus high-grade glioma. The encoder is pre-trained by reconstructing masked regions of unlabeled scans; repeated stochastic inference with dropout yields a voxel-wise uncertainty map, and transformer attention provides spatial explanations. Five established networks were re-trained on identical patient-level splits of the 2021 Brain Tumor Segmentation challenge data (1,251 patients) for comparison. Results: On the held-out test set the model reaches Dice scores of 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[TBD]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[TBD]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[TBD]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 for whole tumor, tumor core and enhancing tumor, with 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[TBD]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 million parameters and 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[TBD]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 milliseconds per volume crop; 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[TBD: grading area under the curve, calibration error and external-validation result]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. Conclusion: 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[TBD: measured trade-off between accuracy, model size and calibration]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. Significance: A compact model that segments, detects and grades brain tumors while flagging uncertain regions can support radiologist review on standard clinical hardware.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Index Terms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—Brain tumor segmentation, glioma grading, magnetic resonance imaging, masked image modeling, transformer, uncertainty estimation.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D. Biswas is with the Department of Computer Science and Engineering, Daffodil International University, Dhaka, Bangladesh (e-mail: </w:t>
      </w:r>
      <w:r>
        <w:rPr>
          <w:rFonts w:ascii="Times New Roman" w:cs="Times New Roman" w:eastAsia="Times New Roman" w:hAnsi="Times New Roman"/>
          <w:b/>
          <w:bCs/>
          <w:color w:val="C00000"/>
          <w:sz w:val="16"/>
          <w:szCs w:val="16"/>
        </w:rPr>
        <w:t xml:space="preserve">[TBD: institutional e-mail]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). </w:t>
      </w:r>
      <w:r>
        <w:rPr>
          <w:rFonts w:ascii="Times New Roman" w:cs="Times New Roman" w:eastAsia="Times New Roman" w:hAnsi="Times New Roman"/>
          <w:b/>
          <w:bCs/>
          <w:color w:val="C00000"/>
          <w:sz w:val="16"/>
          <w:szCs w:val="16"/>
        </w:rPr>
        <w:t xml:space="preserve">[TBD: co-author affiliations]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. Manuscript received </w:t>
      </w:r>
      <w:r>
        <w:rPr>
          <w:rFonts w:ascii="Times New Roman" w:cs="Times New Roman" w:eastAsia="Times New Roman" w:hAnsi="Times New Roman"/>
          <w:b/>
          <w:bCs/>
          <w:color w:val="C00000"/>
          <w:sz w:val="16"/>
          <w:szCs w:val="16"/>
        </w:rPr>
        <w:t xml:space="preserve">[TBD]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.</w:t>
      </w:r>
    </w:p>
    <w:p>
      <w:pPr>
        <w:sectPr>
          <w:footerReference w:type="default" r:id="rId6"/>
          <w:pgSz w:w="12240" w:h="15840" w:orient="portrait"/>
          <w:pgMar w:top="1080" w:right="936" w:bottom="1440" w:left="936" w:header="708" w:footer="708" w:gutter="0"/>
          <w:pgNumType/>
          <w:docGrid w:linePitch="360"/>
        </w:sectPr>
      </w:pPr>
    </w:p>
    <w:p>
      <w:pPr>
        <w:keepNext/>
        <w:spacing w:before="160"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sz w:val="20"/>
          <w:szCs w:val="20"/>
        </w:rPr>
        <w:t xml:space="preserve">I. INTRODUCTION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Glioblastoma (WHO grade 4) has a median overall survival of 14.6 months under standard treatment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[1]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and about 308,000 new brain and central nervous system tumors were estimated worldwide in 2020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[2]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Delineating the whole tumor (WT), tumor core (TC) and enhancing tumor (ET) on multi-modal MRI (T1, contrast-enhanced T1ce, T2, FLAIR)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[3]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guides surgery, radiotherapy and response assessment, but manual delineation is slow and raters agree only to Dice 0.74–0.85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[4]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CNNs such as 3D U-Net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[5, 6]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capture local structure but not long-range context; transformers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[7, 8]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do, at high data and compute cost. Hybrid designs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[9–11]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combine both, but most solve one task, give point predictions only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[12]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have tens of millions of parameters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[13]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propose BrainHybridNet. Our contributions are:</w:t>
      </w:r>
    </w:p>
    <w:p>
      <w:pPr>
        <w:pStyle w:val="ListParagraph"/>
        <w:numPr>
          <w:ilvl w:val="0"/>
          <w:numId w:val="2"/>
        </w:numPr>
        <w:spacing w:line="240" w:after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lightweight hybrid encoder (CNN stem with high-resolution skips, four-layer transformer bottleneck) with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million parameters;</w:t>
      </w:r>
    </w:p>
    <w:p>
      <w:pPr>
        <w:pStyle w:val="ListParagraph"/>
        <w:numPr>
          <w:ilvl w:val="0"/>
          <w:numId w:val="2"/>
        </w:numPr>
        <w:spacing w:line="240" w:after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3D masked image modeling applied before the CNN stem of a hybrid encoder, extending ViT self pre-training on target data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[14]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with measured effects on accuracy and label efficiency;</w:t>
      </w:r>
    </w:p>
    <w:p>
      <w:pPr>
        <w:pStyle w:val="ListParagraph"/>
        <w:numPr>
          <w:ilvl w:val="0"/>
          <w:numId w:val="2"/>
        </w:numPr>
        <w:spacing w:line="240" w:after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joint segmentation, detection and LGG/HGG grading in one pass;</w:t>
      </w:r>
    </w:p>
    <w:p>
      <w:pPr>
        <w:pStyle w:val="ListParagraph"/>
        <w:numPr>
          <w:ilvl w:val="0"/>
          <w:numId w:val="2"/>
        </w:numPr>
        <w:spacing w:line="240" w:after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Monte Carlo dropout uncertainty, evaluated for calibration and correlation with error, and attention maps evaluated against reference masks;</w:t>
      </w:r>
    </w:p>
    <w:p>
      <w:pPr>
        <w:pStyle w:val="ListParagraph"/>
        <w:numPr>
          <w:ilvl w:val="0"/>
          <w:numId w:val="2"/>
        </w:numPr>
        <w:spacing w:line="240" w:after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reproducible comparison with five re-trained baselines on identical splits, with confidence intervals, paired tests and external validation; code, splits and weights are public.</w:t>
      </w:r>
    </w:p>
    <w:p>
      <w:pPr>
        <w:keepNext/>
        <w:spacing w:before="160"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sz w:val="20"/>
          <w:szCs w:val="20"/>
        </w:rPr>
        <w:t xml:space="preserve">II. RELATED WORK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Segmentation networks.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3D U-Net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[6]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SegResNet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[15]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the self-configuring nnU-Net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[16]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are strong CNN baselines. UNETR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[17]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SwinUNETR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[18, 19]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use transformer encoders; TransBTS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[10]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MedT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[20]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UCTransNet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[21]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D-Former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[11]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mix convolution and attention.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Self-supervised learning.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Contrastive learning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[22–24]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masked image modeling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[25, 26]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reduce label needs; MAE self pre-training improves BraTS segmentation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[14]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Uncertainty.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Bayesian networks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[27]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deep ensembles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[28]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Monte Carlo dropout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[12]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estimate epistemic uncertainty; in neuroimaging it has been linked to errors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[29]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used for quality control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[30]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Grading.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WHO CNS5 grading uses histology and molecular markers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[31]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imaging-based grading uses radiomics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[32]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or CNNs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[33]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usually separate from segmentation.</w:t>
      </w:r>
    </w:p>
    <w:p>
      <w:pPr>
        <w:keepNext/>
        <w:spacing w:before="160"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sz w:val="20"/>
          <w:szCs w:val="20"/>
        </w:rPr>
        <w:t xml:space="preserve">III. METHOD</w:t>
      </w:r>
    </w:p>
    <w:p>
      <w:pPr>
        <w:sectPr>
          <w:footerReference w:type="default" r:id="rId7"/>
          <w:type w:val="continuous"/>
          <w:pgSz w:w="12240" w:h="15840" w:orient="portrait"/>
          <w:pgMar w:top="1080" w:right="936" w:bottom="1440" w:left="936" w:header="708" w:footer="708" w:gutter="0"/>
          <w:pgNumType/>
          <w:cols w:space="396" w:num="2" w:equalWidth="true"/>
          <w:docGrid w:linePitch="360"/>
        </w:sectPr>
      </w:pPr>
    </w:p>
    <w:p>
      <w:pPr>
        <w:keepNext/>
        <w:spacing w:before="120"/>
        <w:jc w:val="center"/>
      </w:pPr>
      <w:r>
        <w:drawing>
          <wp:inline distT="0" distB="0" distL="0" distR="0">
            <wp:extent cx="6400800" cy="3200400"/>
            <wp:effectExtent t="0" r="0" b="0" l="0"/>
            <wp:docPr id="1" name="fig1" descr="BrainHybridNet. Sequence attention and a two-stage CNN stem give skip features c_{1}, c_{2}; 512 tokens from 8^{3} patches of c_{2} pass four transformer blocks. Pooled tokens feed detection and grade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Fig. 1.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BrainHybridNet. Sequence attention and a two-stage CNN stem give skip features c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, c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; 512 tokens from 8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 patches of c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 pass four transformer blocks. Pooled tokens feed detection and grade heads; the decoder fuses c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 and c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 before the WT/TC/ET head. Monte Carlo dropout gives uncertainty, last-block attention a saliency map.</w:t>
      </w:r>
    </w:p>
    <w:p>
      <w:pPr>
        <w:sectPr>
          <w:footerReference w:type="default" r:id="rId8"/>
          <w:type w:val="continuous"/>
          <w:pgSz w:w="12240" w:h="15840" w:orient="portrait"/>
          <w:pgMar w:top="1080" w:right="936" w:bottom="1440" w:left="936" w:header="708" w:footer="708" w:gutter="0"/>
          <w:pgNumType/>
          <w:docGrid w:linePitch="360"/>
        </w:sectPr>
      </w:pPr>
    </w:p>
    <w:p>
      <w:pPr>
        <w:keepNext/>
        <w:spacing w:before="10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A. Architecture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Fig. 1 shows the network. Input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X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∈ ℝ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B×4×D×H×W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(four z-scored sequences, 128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crops) is re-weighted per sequence by squeeze-and-excitation and passed through two stem stages: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= ReLU(BN(Conv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3,1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X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))) (32 channels, full resolution) and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= ReLU(BN(Conv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3,2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))) (64 channels, half resolution). A strided convolution turns 8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patches of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into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= 512 tokens of size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= 128 with learned positional embeddings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followed by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= 4 pre-norm transformer blocks (4 heads, MLP ratio 4, GELU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[34]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dropout 0.1)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[35]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</w:t>
      </w:r>
    </w:p>
    <w:p>
      <w:pPr>
        <w:tabs>
          <w:tab w:val="center" w:pos="2493"/>
          <w:tab w:val="right" w:pos="4986"/>
        </w:tabs>
        <w:spacing w:before="80" w:after="8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′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+ MHSA(LN(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)), 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  <w:vertAlign w:val="subscript"/>
        </w:rPr>
        <w:t xml:space="preserve">l+1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′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 + MLP(LN(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z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′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))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(1)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decoder reshapes tokens to an 8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grid, applies 3D dropout (0.1), and upsamples four times with transposed convolutions and residual squeeze-and-excitation (ResSE) blocks, concatenating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at matching resolutions. Heads: a 1×1×1 convolution with sigmoids for WT/TC/ET; detection Linear(E,128) → ReLU → Linear(128,2) and grading Linear(E,64) → ReLU → Linear(64,2) on mean-pooled tokens. As BraTS has no tumor-free subjects, detection is trained per crop (positive if ≥100 WT voxels); subjects without grade labels are ignored by the grading loss.</w:t>
      </w:r>
    </w:p>
    <w:p>
      <w:pPr>
        <w:keepNext/>
        <w:spacing w:before="10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B. Masked image modeling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Following SimMIM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[26]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in 3D, 75% of token positions are masked; their 16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input regions are zeroed before the stem (so nothing leaks through convolutions) and the tokens replaced by a learned mask embedding. A linear head reconstructs the 4×16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voxels of each masked region; the loss is the mean squared error to per-patch normalized targets over masked patches only. Pre-training uses only the training folds.</w:t>
      </w:r>
    </w:p>
    <w:p>
      <w:pPr>
        <w:keepNext/>
        <w:spacing w:before="10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C. Uncertainty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With batch normalization frozen and dropout active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[12]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= 20 sliding-window passes give the mean μ and voxel-wise variance σ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= (1/T) Σ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(σ(Ŷ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(t)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 − μ)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keepNext/>
        <w:spacing w:before="100" w:after="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D. Training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ℒ = 0.6 ℒ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seg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+ 0.2 ℒ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det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+ 0.2 ℒ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grade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with cross-entropy for detection and grading and the Tversky loss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[36]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(α = 0.3, β = 0.7) per region for segmentation. AdamW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[37]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(learning rate 10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−4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weight decay 10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−4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clipping 1.0), 10 warm-up epochs then cosine decay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[38]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300 epochs (pre-training 100 epochs at 1.5 × 10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−4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), batch 2, mixed precision; flips, intensity scaling/shift and Gaussian noise; crops centered on tumor with probability 0.66; best mean validation Dice per fold.</w:t>
      </w:r>
    </w:p>
    <w:p>
      <w:pPr>
        <w:keepNext/>
        <w:spacing w:before="160"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sz w:val="20"/>
          <w:szCs w:val="20"/>
        </w:rPr>
        <w:t xml:space="preserve">IV. EXPERIMENTAL SETUP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Data.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BraTS 2021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[39]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1,251 subjects, four co-registered skull-stripped sequences at 1 mm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WT, TC and ET from the expert labels. A subject-level hold-out test set (15%,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subjects) is used once; the rest forms five folds shared by all models. Grading uses UCSF-PDGM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[40]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(WHO grade), which also serves as an external segmentation test set.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Baselines.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3D U-Net, SegResNet, UNETR, SwinUNETR (MONAI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[41]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 and nnU-Net v2, all re-trained on the same folds and preprocessing.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Metrics.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Dice and HD95 per region (BraTS conventions for empty masks); AUC, balanced accuracy, sensitivity and specificity; voxel-level expected calibration error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[42]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Spearman correlation of case uncertainty with 1 − Dice; parameters, MACs, latency and memory on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[TBD: GPU]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Mean ± SD, 95% bootstrap intervals, Wilcoxon tests with Holm correction. Reporting follows CLAIM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[43]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Implementation: PyTorch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[44]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PyTorch Lightning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[45]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keepNext/>
        <w:spacing w:before="160"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sz w:val="20"/>
          <w:szCs w:val="20"/>
        </w:rPr>
        <w:t xml:space="preserve">V. RESULTS</w:t>
      </w:r>
    </w:p>
    <w:p>
      <w:pPr>
        <w:sectPr>
          <w:footerReference w:type="default" r:id="rId9"/>
          <w:type w:val="continuous"/>
          <w:pgSz w:w="12240" w:h="15840" w:orient="portrait"/>
          <w:pgMar w:top="1080" w:right="936" w:bottom="1440" w:left="936" w:header="708" w:footer="708" w:gutter="0"/>
          <w:pgNumType/>
          <w:cols w:space="396" w:num="2" w:equalWidth="true"/>
          <w:docGrid w:linePitch="360"/>
        </w:sectPr>
      </w:pPr>
    </w:p>
    <w:p>
      <w:pPr>
        <w:keepNext/>
        <w:spacing w:before="16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TABLE I</w:t>
      </w:r>
    </w:p>
    <w:p>
      <w:pPr>
        <w:keepNext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Segmentation on the BraTS 2021 Hold-Out Test Set (</w:t>
      </w:r>
      <w:r>
        <w:rPr>
          <w:rFonts w:ascii="Times New Roman" w:cs="Times New Roman" w:eastAsia="Times New Roman" w:hAnsi="Times New Roman"/>
          <w:b/>
          <w:bCs/>
          <w:smallCaps/>
          <w:color w:val="C00000"/>
          <w:sz w:val="16"/>
          <w:szCs w:val="16"/>
        </w:rPr>
        <w:t xml:space="preserve">[TBD]</w:t>
      </w: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 Subjects), Mean ± SD</w:t>
      </w:r>
    </w:p>
    <w:tbl>
      <w:tblPr>
        <w:tblW w:type="dxa" w:w="1036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8"/>
        <w:gridCol w:w="829"/>
        <w:gridCol w:w="829"/>
        <w:gridCol w:w="829"/>
        <w:gridCol w:w="829"/>
        <w:gridCol w:w="829"/>
        <w:gridCol w:w="829"/>
        <w:gridCol w:w="933"/>
        <w:gridCol w:w="829"/>
        <w:gridCol w:w="1144"/>
      </w:tblGrid>
      <w:tr>
        <w:trPr>
          <w:tblHeader/>
        </w:trPr>
        <w:tc>
          <w:tcPr>
            <w:tcW w:type="dxa" w:w="2488"/>
            <w:gridSpan w:val="1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Method</w:t>
            </w:r>
          </w:p>
        </w:tc>
        <w:tc>
          <w:tcPr>
            <w:tcW w:type="dxa" w:w="2487"/>
            <w:gridSpan w:val="3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Dice ↑</w:t>
            </w:r>
          </w:p>
        </w:tc>
        <w:tc>
          <w:tcPr>
            <w:tcW w:type="dxa" w:w="2487"/>
            <w:gridSpan w:val="3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HD95 (mm) ↓</w:t>
            </w:r>
          </w:p>
        </w:tc>
        <w:tc>
          <w:tcPr>
            <w:tcW w:type="dxa" w:w="933"/>
            <w:gridSpan w:val="1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Params (M)</w:t>
            </w:r>
          </w:p>
        </w:tc>
        <w:tc>
          <w:tcPr>
            <w:tcW w:type="dxa" w:w="829"/>
            <w:gridSpan w:val="1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GMACs</w:t>
            </w:r>
          </w:p>
        </w:tc>
        <w:tc>
          <w:tcPr>
            <w:tcW w:type="dxa" w:w="1144"/>
            <w:gridSpan w:val="1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Latency (ms)</w:t>
            </w:r>
          </w:p>
        </w:tc>
      </w:tr>
      <w:tr>
        <w:trPr>
          <w:tblHeader/>
        </w:trPr>
        <w:tc>
          <w:tcPr>
            <w:tcW w:type="dxa" w:w="2488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WT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TC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ET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WT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TC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ET</w:t>
            </w:r>
          </w:p>
        </w:tc>
        <w:tc>
          <w:tcPr>
            <w:tcW w:type="dxa" w:w="933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</w:p>
        </w:tc>
        <w:tc>
          <w:tcPr>
            <w:tcW w:type="dxa" w:w="114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</w:p>
        </w:tc>
      </w:tr>
      <w:tr>
        <w:trPr>
          <w:tblHeader w:val="false"/>
        </w:trPr>
        <w:tc>
          <w:tcPr>
            <w:tcW w:type="dxa" w:w="24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3D U-Net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[6]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93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11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24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SegResNet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[15]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93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11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24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UNETR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[17]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93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11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24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SwinUNETR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[18]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93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11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248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nnU-Net v2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[16]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933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11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2488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BrainHybridNet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933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82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114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</w:tr>
    </w:tbl>
    <w:p>
      <w:pPr>
        <w:spacing w:after="120"/>
      </w:pPr>
    </w:p>
    <w:p>
      <w:pPr>
        <w:sectPr>
          <w:footerReference w:type="default" r:id="rId10"/>
          <w:type w:val="continuous"/>
          <w:pgSz w:w="12240" w:h="15840" w:orient="portrait"/>
          <w:pgMar w:top="1080" w:right="936" w:bottom="1440" w:left="936" w:header="708" w:footer="708" w:gutter="0"/>
          <w:pgNumType/>
          <w:docGrid w:linePitch="360"/>
        </w:sectPr>
      </w:pPr>
    </w:p>
    <w:p>
      <w:pPr>
        <w:keepNext/>
        <w:spacing w:before="16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TABLE II</w:t>
      </w:r>
    </w:p>
    <w:p>
      <w:pPr>
        <w:keepNext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Detection (BraTS Crops) and Grading (UCSF-PDGM)</w:t>
      </w:r>
    </w:p>
    <w:tbl>
      <w:tblPr>
        <w:tblW w:type="dxa" w:w="498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5"/>
        <w:gridCol w:w="698"/>
        <w:gridCol w:w="698"/>
        <w:gridCol w:w="698"/>
        <w:gridCol w:w="698"/>
        <w:gridCol w:w="699"/>
      </w:tblGrid>
      <w:tr>
        <w:trPr>
          <w:tblHeader/>
        </w:trPr>
        <w:tc>
          <w:tcPr>
            <w:tcW w:type="dxa" w:w="1495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</w:p>
        </w:tc>
        <w:tc>
          <w:tcPr>
            <w:tcW w:type="dxa" w:w="698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Det. AUC</w:t>
            </w:r>
          </w:p>
        </w:tc>
        <w:tc>
          <w:tcPr>
            <w:tcW w:type="dxa" w:w="698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Sens.</w:t>
            </w:r>
          </w:p>
        </w:tc>
        <w:tc>
          <w:tcPr>
            <w:tcW w:type="dxa" w:w="698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Spec.</w:t>
            </w:r>
          </w:p>
        </w:tc>
        <w:tc>
          <w:tcPr>
            <w:tcW w:type="dxa" w:w="698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Grade AUC</w:t>
            </w:r>
          </w:p>
        </w:tc>
        <w:tc>
          <w:tcPr>
            <w:tcW w:type="dxa" w:w="699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Grade BA</w:t>
            </w:r>
          </w:p>
        </w:tc>
      </w:tr>
      <w:tr>
        <w:trPr>
          <w:tblHeader w:val="false"/>
        </w:trPr>
        <w:tc>
          <w:tcPr>
            <w:tcW w:type="dxa" w:w="1495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BrainHybridNet</w:t>
            </w:r>
          </w:p>
        </w:tc>
        <w:tc>
          <w:tcPr>
            <w:tcW w:type="dxa" w:w="698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698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698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698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699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</w:tr>
    </w:tbl>
    <w:p>
      <w:pPr>
        <w:spacing w:after="120"/>
      </w:pP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Segmentation.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Table I; significance versus the strongest baseline: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Five-fold cross-validation: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Detection and grading.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Table II.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Calibration and uncertainty.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[TBD: ECE with/without Monte Carlo dropout; Spearman ρ and p]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External validation.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[TBD: UCSF-PDGM without retraining]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keepNext/>
        <w:spacing w:before="16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TABLE III</w:t>
      </w:r>
    </w:p>
    <w:p>
      <w:pPr>
        <w:keepNext/>
        <w:spacing w:after="60"/>
        <w:jc w:val="center"/>
      </w:pPr>
      <w:r>
        <w:rPr>
          <w:rFonts w:ascii="Times New Roman" w:cs="Times New Roman" w:eastAsia="Times New Roman" w:hAnsi="Times New Roman"/>
          <w:smallCaps/>
          <w:sz w:val="16"/>
          <w:szCs w:val="16"/>
        </w:rPr>
        <w:t xml:space="preserve">Ablations (5-Fold Cross-Validation, Dice)</w:t>
      </w:r>
    </w:p>
    <w:tbl>
      <w:tblPr>
        <w:tblW w:type="dxa" w:w="498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747"/>
        <w:gridCol w:w="747"/>
        <w:gridCol w:w="747"/>
        <w:gridCol w:w="751"/>
      </w:tblGrid>
      <w:tr>
        <w:trPr>
          <w:tblHeader/>
        </w:trPr>
        <w:tc>
          <w:tcPr>
            <w:tcW w:type="dxa" w:w="1994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747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WT</w:t>
            </w:r>
          </w:p>
        </w:tc>
        <w:tc>
          <w:tcPr>
            <w:tcW w:type="dxa" w:w="747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TC</w:t>
            </w:r>
          </w:p>
        </w:tc>
        <w:tc>
          <w:tcPr>
            <w:tcW w:type="dxa" w:w="747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ET</w:t>
            </w:r>
          </w:p>
        </w:tc>
        <w:tc>
          <w:tcPr>
            <w:tcW w:type="dxa" w:w="751"/>
            <w:gridSpan w:val="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Params</w:t>
            </w:r>
          </w:p>
        </w:tc>
      </w:tr>
      <w:tr>
        <w:trPr>
          <w:tblHeader w:val="false"/>
        </w:trPr>
        <w:tc>
          <w:tcPr>
            <w:tcW w:type="dxa" w:w="19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CNN only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5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19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 CNN skips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5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19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 sequence attention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5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19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Segmentation only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5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19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 pre-training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5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</w:tr>
      <w:tr>
        <w:trPr>
          <w:tblHeader w:val="false"/>
        </w:trPr>
        <w:tc>
          <w:tcPr>
            <w:tcW w:type="dxa" w:w="1994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Full model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47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  <w:tc>
          <w:tcPr>
            <w:tcW w:type="dxa" w:w="751"/>
            <w:gridSpan w:val="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[TBD]</w:t>
            </w:r>
          </w:p>
        </w:tc>
      </w:tr>
    </w:tbl>
    <w:p>
      <w:pPr>
        <w:spacing w:after="120"/>
      </w:pP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Ablations.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Table III; masking ratio, depth and loss-weight sensitivity: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keepNext/>
        <w:spacing w:before="160"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sz w:val="20"/>
          <w:szCs w:val="20"/>
        </w:rPr>
        <w:t xml:space="preserve">VI. DISCUSSION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[TBD: interpret only the measured results: where the hybrid helps, the effect of pre-training with 10%/25% labels, whether uncertainty tracks error, attention-map overlap]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Limitations.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External validation is limited to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grading ignores molecular markers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[31]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pre-training uses only BraTS training folds; detection is evaluated on crops, not healthy scans; reference labels vary between raters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[4]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keepNext/>
        <w:spacing w:before="160"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sz w:val="20"/>
          <w:szCs w:val="20"/>
        </w:rPr>
        <w:t xml:space="preserve">VII. CONCLUSION</w:t>
      </w:r>
    </w:p>
    <w:p>
      <w:pPr>
        <w:spacing w:line="240" w:after="0" w:before="0"/>
        <w:ind w:firstLine="202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BrainHybridNet jointly segments, detects and grades brain tumors with a compact hybrid encoder, masked-image-modeling pre-training and uncertainty estimates.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[TBD: one-sentence measured summary]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Code, splits and weights: https://github.com/Debobrato06/BrainTumorDetection </w:t>
      </w: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[TBD: release tag]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keepNext/>
        <w:spacing w:before="240" w:after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ACKNOWLEDGMENT</w:t>
      </w:r>
    </w:p>
    <w:p>
      <w:pPr>
        <w:spacing w:line="240" w:after="0" w:before="0"/>
        <w:ind w:firstLine="202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[TBD: or remove]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keepNext/>
        <w:spacing w:before="240" w:after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DATA AVAILABILITY</w:t>
      </w:r>
    </w:p>
    <w:p>
      <w:pPr>
        <w:spacing w:line="240" w:after="0" w:before="0"/>
        <w:ind w:firstLine="202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BraTS 2021 (https://www.synapse.org/#!Synapse:syn27046444) and UCSF-PDGM (The Cancer Imaging Archive) are public; this study used only these de-identified datasets, so no ethics approval was required.</w:t>
      </w:r>
    </w:p>
    <w:p>
      <w:pPr>
        <w:keepNext/>
        <w:spacing w:before="240" w:after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REFERENCES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R. Stupp, W. P. Mason, M. J. van den Bent et al., “Radiotherapy plus concomitant and adjuvant temozolomide for glioblastoma,”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New England Journal of Medicine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vol. 352, no. 10, pp. 987–996, 2005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10.1056/NEJMoa043330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H. Sung, J. Ferlay, R. L. Siegel et al., “Global cancer statistics 2020: GLOBOCAN estimates of incidence and mortality worldwide for 36 cancers in 185 countries,”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CA: A Cancer Journal for Clinicians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vol. 71, no. 3, pp. 209–249, 2021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10.3322/caac.21660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N. Gordillo, E. Montseny, and P. Sobrevilla, “State of the art survey on MRI brain tumor segmentation,”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Magnetic Resonance Imaging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vol. 31, no. 8, pp. 1426–1438, 2013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10.1016/j.mri.2013.05.002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B. H. Menze, A. Jakab, S. Bauer et al., “The multimodal brain tumor image segmentation benchmark (BRATS),”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IEEE Transactions on Medical Imaging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vol. 34, no. 10, pp. 1993–2024, 2015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10.1109/TMI.2014.2377694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O. Ronneberger, P. Fischer, and T. Brox, “U-Net: Convolutional networks for biomedical image segmentation,”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Medical Image Computing and Computer-Assisted Intervention – MICCAI 2015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LNCS vol. 9351, pp. 234–241, 2015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10.1007/978-3-319-24574-4_28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Ö. Çiçek, A. Abdulkadir, S. S. Lienkamp, T. Brox, and O. Ronneberger, “3D U-Net: Learning dense volumetric segmentation from sparse annotation,”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Medical Image Computing and Computer-Assisted Intervention – MICCAI 2016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LNCS vol. 9901, pp. 424–432, 2016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10.1007/978-3-319-46723-8_49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[7]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A. Vaswani, N. Shazeer, N. Parmar et al., “Attention is all you need,”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Advances in Neural Information Processing Systems (NeurIPS)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2017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arXiv:1706.03762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[8]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A. Dosovitskiy, L. Beyer, A. Kolesnikov et al., “An image is worth 16x16 words: Transformers for image recognition at scale,”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International Conference on Learning Representations (ICLR)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2021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arXiv:2010.11929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[9]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J. Chen, Y. Lu, Q. Yu et al., “TransUNet: Transformers make strong encoders for medical image segmentation,”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2021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arXiv:2102.04306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[10]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W. Wang, C. Chen, M. Ding et al., “TransBTS: Multimodal brain tumor segmentation using transformer,”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Medical Image Computing and Computer-Assisted Intervention – MICCAI 2021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LNCS vol. 12901, pp. 109–119, 2021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10.1007/978-3-030-87193-2_11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[11]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Y. Wu, K. Liao, J. Chen, J. Wang, D. Z. Chen, H. Gao, and J. Wu, “D-Former: A U-shaped dilated transformer for 3D medical image segmentation,”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Neural Computing and Applications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vol. 35, pp. 1931–1944, 2023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10.1007/s00521-022-07859-1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[12]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Y. Gal and Z. Ghahramani, “Dropout as a Bayesian approximation: Representing model uncertainty in deep learning,”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Proceedings of the 33rd International Conference on Machine Learning (ICML)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pp. 1050–1059, 2016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arXiv:1506.02142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[13]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J. Ker, L. Wang, J. Rao, and T. Lim, “Deep learning applications in medical image analysis,”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IEEE Access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vol. 6, pp. 9375–9389, 2018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10.1109/ACCESS.2017.2788044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[14]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L. Zhou, H. Liu, J. Bae, J. He, D. Samaras, and P. Prasanna, “Self pre-training with masked autoencoders for medical image classification and segmentation,”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IEEE 20th International Symposium on Biomedical Imaging (ISBI)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2023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arXiv:2203.05573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[15]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A. Myronenko, “3D MRI brain tumor segmentation using autoencoder regularization,”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Brainlesion: Glioma, Multiple Sclerosis, Stroke and Traumatic Brain Injuries (BrainLes 2018)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LNCS vol. 11384, pp. 311–320, 2019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10.1007/978-3-030-11726-9_28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[16]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F. Isensee, P. F. Jaeger, S. A. A. Kohl, J. Petersen, and K. H. Maier-Hein, “nnU-Net: a self-configuring method for deep learning-based biomedical image segmentation,”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Nature Methods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vol. 18, no. 2, pp. 203–211, 2021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10.1038/s41592-020-01008-z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[17]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A. Hatamizadeh, Y. Tang, V. Nath et al., “UNETR: Transformers for 3D medical image segmentation,”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Proceedings of the IEEE/CVF Winter Conference on Applications of Computer Vision (WACV)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pp. 574–584, 2022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arXiv:2103.10504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[18]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Y. Tang, D. Yang, W. Li et al., “Self-supervised pre-training of Swin transformers for 3D medical image analysis,”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Proceedings of the IEEE/CVF Conference on Computer Vision and Pattern Recognition (CVPR)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pp. 20730–20740, 2022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arXiv:2111.14791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[19]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Z. Liu, Y. Lin, Y. Cao et al., “Swin Transformer: Hierarchical vision transformer using shifted windows,”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Proceedings of the IEEE/CVF International Conference on Computer Vision (ICCV)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pp. 10012–10022, 2021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arXiv:2103.14030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[20]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J. M. J. Valanarasu, P. Oza, I. Hacihaliloglu, and V. M. Patel, “Medical Transformer: Gated axial-attention for medical image segmentation,”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Medical Image Computing and Computer-Assisted Intervention – MICCAI 2021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LNCS vol. 12901, pp. 36–46, 2021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10.1007/978-3-030-87193-2_4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[21]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H. Wang, P. Cao, J. Wang, and O. R. Zaiane, “UCTransNet: Rethinking the skip connections in U-Net from a channel-wise perspective with transformer,”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Proceedings of the AAAI Conference on Artificial Intelligence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pp. 2441–2449, 2022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10.1609/aaai.v36i3.20144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[22]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T. Chen, S. Kornblith, M. Norouzi, and G. Hinton, “A simple framework for contrastive learning of visual representations,”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Proceedings of the 37th International Conference on Machine Learning (ICML)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pp. 1597–1607, 2020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arXiv:2002.05709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[23]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M. Caron, H. Touvron, I. Misra et al., “Emerging properties in self-supervised vision transformers,”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Proceedings of the IEEE/CVF International Conference on Computer Vision (ICCV)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pp. 9650–9660, 2021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arXiv:2104.14294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[24]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H. Sowrirajan, J. Yang, A. Y. Ng, and P. Rajpurkar, “MoCo-CXR: MoCo pretraining improves representation and transferability of chest X-ray models,”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2021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arXiv:2010.05352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[25]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K. He, X. Chen, S. Xie et al., “Masked autoencoders are scalable vision learners,”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Proceedings of the IEEE/CVF Conference on Computer Vision and Pattern Recognition (CVPR)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pp. 16000–16009, 2022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arXiv:2111.06377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[26]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Z. Xie, Z. Zhang, Y. Cao et al., “SimMIM: A simple framework for masked image modeling,”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Proceedings of the IEEE/CVF Conference on Computer Vision and Pattern Recognition (CVPR)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pp. 9653–9663, 2022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arXiv:2111.09886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[27]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R. M. Neal,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Bayesian Learning for Neural Networks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 New York: Springer, 1996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10.1007/978-1-4612-0745-0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[28]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B. Lakshminarayanan, A. Pritzel, and C. Blundell, “Simple and scalable predictive uncertainty estimation using deep ensembles,”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Advances in Neural Information Processing Systems (NeurIPS)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2017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arXiv:1612.01474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[29]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T. Nair, D. Precup, D. L. Arnold, and T. Arbel, “Exploring uncertainty measures in deep networks for multiple sclerosis lesion detection and segmentation,”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Medical Image Analysis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vol. 59, pp. 101557, 2020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10.1016/j.media.2019.101557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[30]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A. G. Roy, S. Conjeti, N. Navab, and C. Wachinger, “Inherent brain segmentation quality control from fully ConvNet Monte Carlo sampling,”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Medical Image Computing and Computer-Assisted Intervention – MICCAI 2018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LNCS vol. 11070, pp. 664–672, 2018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10.1007/978-3-030-00928-1_75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[31]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D. N. Louis, A. Perry, P. Wesseling et al., “The 2021 WHO classification of tumors of the central nervous system: a summary,”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Neuro-Oncology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vol. 23, no. 8, pp. 1231–1251, 2021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10.1093/neuonc/noab106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[32]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M. Zhou, J. Scott, B. Chaudhury et al., “Radiomics in brain tumor: image assessment, quantitative feature descriptors, and machine-learning approaches,”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American Journal of Neuroradiology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vol. 39, no. 2, pp. 208–216, 2018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10.3174/ajnr.A5391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[33]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K. Chang, H. X. Bai, H. Zhou et al., “Residual convolutional neural network for the determination of IDH status in low- and high-grade gliomas from MR imaging,”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Clinical Cancer Research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vol. 24, no. 5, pp. 1073–1081, 2018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10.1158/1078-0432.CCR-17-2236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[34]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D. Hendrycks and K. Gimpel, “Gaussian error linear units (GELUs),”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2016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arXiv:1606.08415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[35]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J. L. Ba, J. R. Kiros, and G. E. Hinton, “Layer normalization,”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2016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arXiv:1607.06450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[36]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S. S. M. Salehi, D. Erdogmus, and A. Gholipour, “Tversky loss function for image segmentation using 3D fully convolutional deep networks,”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Machine Learning in Medical Imaging (MLMI 2017)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LNCS vol. 10541, pp. 379–387, 2017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10.1007/978-3-319-67389-9_44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[37]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I. Loshchilov and F. Hutter, “Decoupled weight decay regularization,”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International Conference on Learning Representations (ICLR)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2019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arXiv:1711.05101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[38]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I. Loshchilov and F. Hutter, “SGDR: Stochastic gradient descent with warm restarts,”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International Conference on Learning Representations (ICLR)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2017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arXiv:1608.03983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[39]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U. Baid, S. Ghodasara, S. Mohan et al., “The RSNA-ASNR-MICCAI BraTS 2021 benchmark on brain tumor segmentation and radiogenomic classification,”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2021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arXiv:2107.02314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[40]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E. Calabrese, J. E. Villanueva-Meyer, J. D. Rudie et al., “The University of California San Francisco preoperative diffuse glioma MRI dataset,”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Radiology: Artificial Intelligence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vol. 4, no. 6, pp. e220058, 2022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10.1148/ryai.220058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[41]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M. J. Cardoso, W. Li, R. Brown et al., “MONAI: An open-source framework for deep learning in healthcare,”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2022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arXiv:2211.02701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[42]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C. Guo, G. Pleiss, Y. Sun, and K. Q. Weinberger, “On calibration of modern neural networks,”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Proceedings of the 34th International Conference on Machine Learning (ICML)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pp. 1321–1330, 2017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arXiv:1706.04599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[43]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J. Mongan, L. Moy, and C. E. Kahn, “Checklist for Artificial Intelligence in Medical Imaging (CLAIM): a guide for authors and reviewers,”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Radiology: Artificial Intelligence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vol. 2, no. 2, pp. e200029, 2020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doi: 10.1148/ryai.2020200029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[44]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A. Paszke, S. Gross, F. Massa et al., “PyTorch: An imperative style, high-performance deep learning library,”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in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Advances in Neural Information Processing Systems (NeurIPS)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2019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arXiv:1912.01703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tabs>
          <w:tab w:val="left" w:pos="400"/>
        </w:tabs>
        <w:spacing w:after="20" w:line="240"/>
        <w:ind w:left="400" w:hanging="40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[45]	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W. Falcon and The PyTorch Lightning team, “PyTorch Lightning,” 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2019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, https://github.com/Lightning-AI/pytorch-lightning</w:t>
      </w:r>
      <w:r>
        <w:rPr>
          <w:rFonts w:ascii="Times New Roman" w:cs="Times New Roman" w:eastAsia="Times New Roman" w:hAnsi="Times New Roman"/>
          <w:i w:val="false"/>
          <w:iCs w:val="false"/>
          <w:sz w:val="16"/>
          <w:szCs w:val="16"/>
        </w:rPr>
        <w:t xml:space="preserve">.</w:t>
      </w:r>
    </w:p>
    <w:p>
      <w:pPr>
        <w:sectPr>
          <w:footerReference w:type="default" r:id="rId11"/>
          <w:type w:val="continuous"/>
          <w:pgSz w:w="12240" w:h="15840" w:orient="portrait"/>
          <w:pgMar w:top="1080" w:right="936" w:bottom="1440" w:left="936" w:header="708" w:footer="708" w:gutter="0"/>
          <w:pgNumType/>
          <w:cols w:space="396" w:num="2" w:equalWidth="true"/>
          <w:docGrid w:linePitch="360"/>
        </w:sectPr>
      </w:pPr>
    </w:p>
    <w:p/>
    <w:sectPr>
      <w:footerReference w:type="default" r:id="rId12"/>
      <w:type w:val="continuous"/>
      <w:pgSz w:w="12240" w:h="15840" w:orient="portrait"/>
      <w:pgMar w:top="1080" w:right="936" w:bottom="144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image" Target="media/6d50862e7b4df78ee522f817f3c054cbd70c759c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BrainHybridNet: A Lightweight Hybrid CNN–Transformer for Joint Brain Tumor Segmentation, Detection and Grading with Self-Supervised Pre-training and Uncertainty Estimation</dc:title>
  <dc:creator>Debobrato Biswas</dc:creator>
  <cp:lastModifiedBy>Un-named</cp:lastModifiedBy>
  <cp:revision>1</cp:revision>
  <dcterms:created xsi:type="dcterms:W3CDTF">2026-10-26T03:01:02.882Z</dcterms:created>
  <dcterms:modified xsi:type="dcterms:W3CDTF">2026-10-26T03:01:02.883Z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