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after="40"/>
        <w:jc w:val="center"/>
      </w:pPr>
      <w:r>
        <w:rPr>
          <w:rFonts w:ascii="Arial" w:cs="Arial" w:eastAsia="Arial" w:hAnsi="Arial"/>
          <w:b/>
          <w:bCs/>
          <w:caps/>
          <w:color w:val="0E7C7B"/>
          <w:sz w:val="22"/>
          <w:szCs w:val="22"/>
        </w:rPr>
        <w:t xml:space="preserve">PROJECT SCOPE DOCUMENT</w:t>
      </w:r>
    </w:p>
    <w:p>
      <w:pPr>
        <w:spacing w:after="120"/>
        <w:jc w:val="center"/>
      </w:pPr>
      <w:r>
        <w:rPr>
          <w:rFonts w:ascii="Arial" w:cs="Arial" w:eastAsia="Arial" w:hAnsi="Arial"/>
          <w:b/>
          <w:bCs/>
          <w:color w:val="1B3F8B"/>
          <w:sz w:val="44"/>
          <w:szCs w:val="44"/>
        </w:rPr>
        <w:t xml:space="preserve">Enterprise Supply Chain Intelligence Platform</w:t>
      </w:r>
    </w:p>
    <w:p>
      <w:pPr>
        <w:spacing w:after="60"/>
        <w:jc w:val="center"/>
      </w:pPr>
      <w:r>
        <w:rPr>
          <w:rFonts w:ascii="Arial" w:cs="Arial" w:eastAsia="Arial" w:hAnsi="Arial"/>
          <w:i/>
          <w:iCs/>
          <w:color w:val="5A6272"/>
          <w:sz w:val="22"/>
          <w:szCs w:val="22"/>
        </w:rPr>
        <w:t xml:space="preserve">Statistical Forecasting · Inventory Optimization · SKU Rationalization</w:t>
      </w:r>
    </w:p>
    <w:p>
      <w:pPr>
        <w:spacing w:before="0" w:after="80"/>
      </w:pPr>
      <w:r>
        <w:t xml:space="preserve"/>
      </w:r>
    </w:p>
    <w:p>
      <w:pPr>
        <w:shd w:fill="E8EEF8" w:val="clear"/>
        <w:spacing w:after="40"/>
        <w:jc w:val="center"/>
      </w:pPr>
      <w:r>
        <w:rPr>
          <w:rFonts w:ascii="Arial" w:cs="Arial" w:eastAsia="Arial" w:hAnsi="Arial"/>
          <w:b/>
          <w:bCs/>
          <w:color w:val="1B3F8B"/>
          <w:sz w:val="20"/>
          <w:szCs w:val="20"/>
        </w:rPr>
        <w:t xml:space="preserve">  Powered by: Snowflake SQL  ·  Python  ·  Power BI  ·  Azure Data Factory  </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C5CDE0" w:sz="1"/>
              <w:left w:val="single" w:color="C5CDE0" w:sz="1"/>
              <w:bottom w:val="single" w:color="C5CDE0" w:sz="1"/>
              <w:right w:val="single" w:color="C5CDE0" w:sz="1"/>
            </w:tcBorders>
            <w:shd w:fill="E8EEF8" w:val="clear"/>
            <w:tcMar>
              <w:top w:type="dxa" w:w="120"/>
              <w:left w:type="dxa" w:w="160"/>
              <w:bottom w:type="dxa" w:w="120"/>
              <w:right w:type="dxa" w:w="160"/>
            </w:tcMar>
          </w:tcPr>
          <w:p>
            <w:pPr>
              <w:spacing w:after="40"/>
              <w:jc w:val="center"/>
            </w:pPr>
            <w:r>
              <w:rPr>
                <w:rFonts w:ascii="Arial" w:cs="Arial" w:eastAsia="Arial" w:hAnsi="Arial"/>
                <w:b/>
                <w:bCs/>
                <w:color w:val="1B3F8B"/>
                <w:sz w:val="28"/>
                <w:szCs w:val="28"/>
              </w:rPr>
              <w:t xml:space="preserve">50,000+</w:t>
            </w:r>
          </w:p>
          <w:p>
            <w:pPr>
              <w:jc w:val="center"/>
            </w:pPr>
            <w:r>
              <w:rPr>
                <w:rFonts w:ascii="Arial" w:cs="Arial" w:eastAsia="Arial" w:hAnsi="Arial"/>
                <w:color w:val="5A6272"/>
                <w:sz w:val="16"/>
                <w:szCs w:val="16"/>
              </w:rPr>
              <w:t xml:space="preserve">Service Parts SKUs</w:t>
            </w:r>
          </w:p>
        </w:tc>
        <w:tc>
          <w:tcPr>
            <w:tcW w:type="dxa" w:w="2200"/>
            <w:tcBorders>
              <w:top w:val="single" w:color="C5CDE0" w:sz="1"/>
              <w:left w:val="single" w:color="C5CDE0" w:sz="1"/>
              <w:bottom w:val="single" w:color="C5CDE0" w:sz="1"/>
              <w:right w:val="single" w:color="C5CDE0" w:sz="1"/>
            </w:tcBorders>
            <w:shd w:fill="E6F4F4" w:val="clear"/>
            <w:tcMar>
              <w:top w:type="dxa" w:w="120"/>
              <w:left w:type="dxa" w:w="160"/>
              <w:bottom w:type="dxa" w:w="120"/>
              <w:right w:type="dxa" w:w="160"/>
            </w:tcMar>
          </w:tcPr>
          <w:p>
            <w:pPr>
              <w:spacing w:after="40"/>
              <w:jc w:val="center"/>
            </w:pPr>
            <w:r>
              <w:rPr>
                <w:rFonts w:ascii="Arial" w:cs="Arial" w:eastAsia="Arial" w:hAnsi="Arial"/>
                <w:b/>
                <w:bCs/>
                <w:color w:val="1B3F8B"/>
                <w:sz w:val="28"/>
                <w:szCs w:val="28"/>
              </w:rPr>
              <w:t xml:space="preserve">3TB+</w:t>
            </w:r>
          </w:p>
          <w:p>
            <w:pPr>
              <w:jc w:val="center"/>
            </w:pPr>
            <w:r>
              <w:rPr>
                <w:rFonts w:ascii="Arial" w:cs="Arial" w:eastAsia="Arial" w:hAnsi="Arial"/>
                <w:color w:val="5A6272"/>
                <w:sz w:val="16"/>
                <w:szCs w:val="16"/>
              </w:rPr>
              <w:t xml:space="preserve">Data Volume</w:t>
            </w:r>
          </w:p>
        </w:tc>
        <w:tc>
          <w:tcPr>
            <w:tcW w:type="dxa" w:w="2200"/>
            <w:tcBorders>
              <w:top w:val="single" w:color="C5CDE0" w:sz="1"/>
              <w:left w:val="single" w:color="C5CDE0" w:sz="1"/>
              <w:bottom w:val="single" w:color="C5CDE0" w:sz="1"/>
              <w:right w:val="single" w:color="C5CDE0" w:sz="1"/>
            </w:tcBorders>
            <w:shd w:fill="E8EEF8" w:val="clear"/>
            <w:tcMar>
              <w:top w:type="dxa" w:w="120"/>
              <w:left w:type="dxa" w:w="160"/>
              <w:bottom w:type="dxa" w:w="120"/>
              <w:right w:type="dxa" w:w="160"/>
            </w:tcMar>
          </w:tcPr>
          <w:p>
            <w:pPr>
              <w:spacing w:after="40"/>
              <w:jc w:val="center"/>
            </w:pPr>
            <w:r>
              <w:rPr>
                <w:rFonts w:ascii="Arial" w:cs="Arial" w:eastAsia="Arial" w:hAnsi="Arial"/>
                <w:b/>
                <w:bCs/>
                <w:color w:val="1B3F8B"/>
                <w:sz w:val="28"/>
                <w:szCs w:val="28"/>
              </w:rPr>
              <w:t xml:space="preserve">18 Months</w:t>
            </w:r>
          </w:p>
          <w:p>
            <w:pPr>
              <w:jc w:val="center"/>
            </w:pPr>
            <w:r>
              <w:rPr>
                <w:rFonts w:ascii="Arial" w:cs="Arial" w:eastAsia="Arial" w:hAnsi="Arial"/>
                <w:color w:val="5A6272"/>
                <w:sz w:val="16"/>
                <w:szCs w:val="16"/>
              </w:rPr>
              <w:t xml:space="preserve">Forecast Horizon</w:t>
            </w:r>
          </w:p>
        </w:tc>
        <w:tc>
          <w:tcPr>
            <w:tcW w:type="dxa" w:w="2200"/>
            <w:tcBorders>
              <w:top w:val="single" w:color="C5CDE0" w:sz="1"/>
              <w:left w:val="single" w:color="C5CDE0" w:sz="1"/>
              <w:bottom w:val="single" w:color="C5CDE0" w:sz="1"/>
              <w:right w:val="single" w:color="C5CDE0" w:sz="1"/>
            </w:tcBorders>
            <w:shd w:fill="E6F4F4" w:val="clear"/>
            <w:tcMar>
              <w:top w:type="dxa" w:w="120"/>
              <w:left w:type="dxa" w:w="160"/>
              <w:bottom w:type="dxa" w:w="120"/>
              <w:right w:type="dxa" w:w="160"/>
            </w:tcMar>
          </w:tcPr>
          <w:p>
            <w:pPr>
              <w:spacing w:after="40"/>
              <w:jc w:val="center"/>
            </w:pPr>
            <w:r>
              <w:rPr>
                <w:rFonts w:ascii="Arial" w:cs="Arial" w:eastAsia="Arial" w:hAnsi="Arial"/>
                <w:b/>
                <w:bCs/>
                <w:color w:val="1B3F8B"/>
                <w:sz w:val="28"/>
                <w:szCs w:val="28"/>
              </w:rPr>
              <w:t xml:space="preserve">~22%</w:t>
            </w:r>
          </w:p>
          <w:p>
            <w:pPr>
              <w:jc w:val="center"/>
            </w:pPr>
            <w:r>
              <w:rPr>
                <w:rFonts w:ascii="Arial" w:cs="Arial" w:eastAsia="Arial" w:hAnsi="Arial"/>
                <w:color w:val="5A6272"/>
                <w:sz w:val="16"/>
                <w:szCs w:val="16"/>
              </w:rPr>
              <w:t xml:space="preserve">Cost Reduction Target</w:t>
            </w:r>
          </w:p>
        </w:tc>
      </w:tr>
    </w:tbl>
    <w:p>
      <w:pPr>
        <w:spacing w:before="0" w:after="240"/>
      </w:pPr>
      <w:r>
        <w:t xml:space="preserve"/>
      </w:r>
    </w:p>
    <w:p>
      <w:pPr>
        <w:jc w:val="center"/>
      </w:pPr>
      <w:r>
        <w:rPr>
          <w:rFonts w:ascii="Arial" w:cs="Arial" w:eastAsia="Arial" w:hAnsi="Arial"/>
          <w:color w:val="5A6272"/>
          <w:sz w:val="18"/>
          <w:szCs w:val="18"/>
        </w:rPr>
        <w:t xml:space="preserve">Role: Business Analyst – Supply Chain  |  Company Context: Genpact / BPO Enterprise</w:t>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1. Executive Summary</w:t>
      </w:r>
    </w:p>
    <w:p>
      <w:pPr>
        <w:spacing w:before="60" w:after="100"/>
      </w:pPr>
      <w:r>
        <w:rPr>
          <w:rFonts w:ascii="Arial" w:cs="Arial" w:eastAsia="Arial" w:hAnsi="Arial"/>
          <w:b w:val="false"/>
          <w:bCs w:val="false"/>
          <w:color w:val="1A1A2E"/>
          <w:sz w:val="20"/>
          <w:szCs w:val="20"/>
        </w:rPr>
        <w:t xml:space="preserve">This project delivers an industry-grade, end-to-end Supply Chain Intelligence Platform designed to handle big data at enterprise scale. It addresses the complete demand-to-distribution lifecycle for service parts across a multi-region operations network — ingesting, processing, and analyzing 3+ TB of historical and real-time supply chain data to drive measurable business outcomes.</w:t>
      </w:r>
    </w:p>
    <w:p>
      <w:pPr>
        <w:spacing w:before="0" w:after="80"/>
      </w:pPr>
      <w:r>
        <w:t xml:space="preserve"/>
      </w:r>
    </w:p>
    <w:p>
      <w:pPr>
        <w:spacing w:before="60" w:after="100"/>
      </w:pPr>
      <w:r>
        <w:rPr>
          <w:rFonts w:ascii="Arial" w:cs="Arial" w:eastAsia="Arial" w:hAnsi="Arial"/>
          <w:b w:val="false"/>
          <w:bCs w:val="false"/>
          <w:color w:val="1A1A2E"/>
          <w:sz w:val="20"/>
          <w:szCs w:val="20"/>
        </w:rPr>
        <w:t xml:space="preserve">The platform combines advanced statistical forecasting, inventory optimization, SKU rationalization, and executive-grade reporting into a unified analytical ecosystem. It is architected on Snowflake as the cloud data warehouse, orchestrated via Azure Data Factory, and visualized through Power BI, making it directly applicable to enterprise environments like Genpact's BPS/BPO supply chain operations.</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Business Problem Statement</w:t>
      </w:r>
    </w:p>
    <w:p>
      <w:pPr>
        <w:spacing w:before="60" w:after="100"/>
      </w:pPr>
      <w:r>
        <w:rPr>
          <w:rFonts w:ascii="Arial" w:cs="Arial" w:eastAsia="Arial" w:hAnsi="Arial"/>
          <w:b w:val="false"/>
          <w:bCs w:val="false"/>
          <w:color w:val="1A1A2E"/>
          <w:sz w:val="20"/>
          <w:szCs w:val="20"/>
        </w:rPr>
        <w:t xml:space="preserve">Global service parts supply chains face three persistent challenges that this project solves:</w:t>
      </w:r>
    </w:p>
    <w:p>
      <w:pPr>
        <w:pStyle w:val="ListParagraph"/>
        <w:numPr>
          <w:ilvl w:val="0"/>
          <w:numId w:val="2"/>
        </w:numPr>
        <w:spacing w:before="40" w:after="40"/>
      </w:pPr>
      <w:r>
        <w:rPr>
          <w:rFonts w:ascii="Arial" w:cs="Arial" w:eastAsia="Arial" w:hAnsi="Arial"/>
          <w:color w:val="1A1A2E"/>
          <w:sz w:val="20"/>
          <w:szCs w:val="20"/>
        </w:rPr>
        <w:t xml:space="preserve">Demand Volatility: Unpredictable service part consumption leads to either overstocking (high carrying costs) or understocking (service failures, SLA breaches)</w:t>
      </w:r>
    </w:p>
    <w:p>
      <w:pPr>
        <w:pStyle w:val="ListParagraph"/>
        <w:numPr>
          <w:ilvl w:val="0"/>
          <w:numId w:val="2"/>
        </w:numPr>
        <w:spacing w:before="40" w:after="40"/>
      </w:pPr>
      <w:r>
        <w:rPr>
          <w:rFonts w:ascii="Arial" w:cs="Arial" w:eastAsia="Arial" w:hAnsi="Arial"/>
          <w:color w:val="1A1A2E"/>
          <w:sz w:val="20"/>
          <w:szCs w:val="20"/>
        </w:rPr>
        <w:t xml:space="preserve">SKU Proliferation: Unmanaged SKU growth inflates procurement and warehousing costs with diminishing returns on slow-moving parts</w:t>
      </w:r>
    </w:p>
    <w:p>
      <w:pPr>
        <w:pStyle w:val="ListParagraph"/>
        <w:numPr>
          <w:ilvl w:val="0"/>
          <w:numId w:val="2"/>
        </w:numPr>
        <w:spacing w:before="40" w:after="40"/>
      </w:pPr>
      <w:r>
        <w:rPr>
          <w:rFonts w:ascii="Arial" w:cs="Arial" w:eastAsia="Arial" w:hAnsi="Arial"/>
          <w:color w:val="1A1A2E"/>
          <w:sz w:val="20"/>
          <w:szCs w:val="20"/>
        </w:rPr>
        <w:t xml:space="preserve">Reactive Reporting: Stakeholders lack timely, forward-looking insights — decisions are driven by lagging indicators rather than predictive intelligence</w:t>
      </w:r>
    </w:p>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2. Solution Architecture &amp; Tech Stack</w:t>
      </w:r>
    </w:p>
    <w:p>
      <w:pPr>
        <w:pStyle w:val="Heading2"/>
        <w:spacing w:before="260" w:after="120"/>
      </w:pPr>
      <w:r>
        <w:rPr>
          <w:rFonts w:ascii="Arial" w:cs="Arial" w:eastAsia="Arial" w:hAnsi="Arial"/>
          <w:b/>
          <w:bCs/>
          <w:color w:val="0E7C7B"/>
          <w:sz w:val="24"/>
          <w:szCs w:val="24"/>
        </w:rPr>
        <w:t xml:space="preserve">2.1 High-Level Architecture</w:t>
      </w:r>
    </w:p>
    <w:p>
      <w:pPr>
        <w:spacing w:before="60" w:after="100"/>
      </w:pPr>
      <w:r>
        <w:rPr>
          <w:rFonts w:ascii="Arial" w:cs="Arial" w:eastAsia="Arial" w:hAnsi="Arial"/>
          <w:b w:val="false"/>
          <w:bCs w:val="false"/>
          <w:color w:val="1A1A2E"/>
          <w:sz w:val="20"/>
          <w:szCs w:val="20"/>
        </w:rPr>
        <w:t xml:space="preserve">The platform is built on a modern cloud-native Lakehouse architecture with five distinct layers: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Layer</w:t>
            </w:r>
          </w:p>
        </w:tc>
        <w:tc>
          <w:tcPr>
            <w:tcW w:type="dxa" w:w="716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r>
              <w:rPr>
                <w:rFonts w:ascii="Arial" w:cs="Arial" w:eastAsia="Arial" w:hAnsi="Arial"/>
                <w:b/>
                <w:bCs/>
                <w:color w:val="FFFFFF"/>
                <w:sz w:val="18"/>
                <w:szCs w:val="18"/>
              </w:rPr>
              <w:t xml:space="preserve">Components &amp; Tools</w:t>
            </w:r>
          </w:p>
        </w:tc>
      </w:tr>
      <w:tr>
        <w:tc>
          <w:tcPr>
            <w:tcW w:type="dxa" w:w="22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b/>
                <w:bCs/>
                <w:color w:val="1B3F8B"/>
                <w:sz w:val="18"/>
                <w:szCs w:val="18"/>
              </w:rPr>
              <w:t xml:space="preserve">Layer 1: Ingestion</w:t>
            </w:r>
          </w:p>
        </w:tc>
        <w:tc>
          <w:tcPr>
            <w:tcW w:type="dxa" w:w="716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Azure Data Factory pipelines · ERP connectors (SAP/Oracle) · CSV batch loads · REST APIs from logistics providers · 15+ source systems</w:t>
            </w:r>
          </w:p>
        </w:tc>
      </w:tr>
      <w:tr>
        <w:tc>
          <w:tcPr>
            <w:tcW w:type="dxa" w:w="22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b/>
                <w:bCs/>
                <w:color w:val="1B3F8B"/>
                <w:sz w:val="18"/>
                <w:szCs w:val="18"/>
              </w:rPr>
              <w:t xml:space="preserve">Layer 2: Storage</w:t>
            </w:r>
          </w:p>
        </w:tc>
        <w:tc>
          <w:tcPr>
            <w:tcW w:type="dxa" w:w="716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Snowflake Cloud Data Warehouse · Raw/Staging/Curated schema layers · S3-compatible blob storage for raw files · 3TB+ data volume</w:t>
            </w:r>
          </w:p>
        </w:tc>
      </w:tr>
      <w:tr>
        <w:tc>
          <w:tcPr>
            <w:tcW w:type="dxa" w:w="22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b/>
                <w:bCs/>
                <w:color w:val="1B3F8B"/>
                <w:sz w:val="18"/>
                <w:szCs w:val="18"/>
              </w:rPr>
              <w:t xml:space="preserve">Layer 3: Processing</w:t>
            </w:r>
          </w:p>
        </w:tc>
        <w:tc>
          <w:tcPr>
            <w:tcW w:type="dxa" w:w="716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Snowflake SQL (transformations, aggregations, forecasting prep) · Python (pandas, statsmodels, scikit-learn for ML forecasting) · dbt for data modeling</w:t>
            </w:r>
          </w:p>
        </w:tc>
      </w:tr>
      <w:tr>
        <w:tc>
          <w:tcPr>
            <w:tcW w:type="dxa" w:w="22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b/>
                <w:bCs/>
                <w:color w:val="1B3F8B"/>
                <w:sz w:val="18"/>
                <w:szCs w:val="18"/>
              </w:rPr>
              <w:t xml:space="preserve">Layer 4: Analytics</w:t>
            </w:r>
          </w:p>
        </w:tc>
        <w:tc>
          <w:tcPr>
            <w:tcW w:type="dxa" w:w="716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Statistical Forecasting Models · ABC-XYZ SKU Analysis · Inventory Optimization Engine · Anomaly Detection · KPI computation</w:t>
            </w:r>
          </w:p>
        </w:tc>
      </w:tr>
      <w:tr>
        <w:tc>
          <w:tcPr>
            <w:tcW w:type="dxa" w:w="22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b/>
                <w:bCs/>
                <w:color w:val="1B3F8B"/>
                <w:sz w:val="18"/>
                <w:szCs w:val="18"/>
              </w:rPr>
              <w:t xml:space="preserve">Layer 5: Visualization</w:t>
            </w:r>
          </w:p>
        </w:tc>
        <w:tc>
          <w:tcPr>
            <w:tcW w:type="dxa" w:w="716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Power BI dashboards with live Snowflake connector · Executive PDF reports · Automated email scheduling · Stakeholder alerts</w:t>
            </w:r>
          </w:p>
        </w:tc>
      </w:tr>
    </w:tbl>
    <w:p>
      <w:pPr>
        <w:spacing w:before="0" w:after="80"/>
      </w:pPr>
      <w:r>
        <w:t xml:space="preserve"/>
      </w:r>
    </w:p>
    <w:p>
      <w:pPr>
        <w:pStyle w:val="Heading2"/>
        <w:spacing w:before="260" w:after="120"/>
      </w:pPr>
      <w:r>
        <w:rPr>
          <w:rFonts w:ascii="Arial" w:cs="Arial" w:eastAsia="Arial" w:hAnsi="Arial"/>
          <w:b/>
          <w:bCs/>
          <w:color w:val="0E7C7B"/>
          <w:sz w:val="24"/>
          <w:szCs w:val="24"/>
        </w:rPr>
        <w:t xml:space="preserve">2.2 Snowflake Schema Design (Big Data Architecture)</w:t>
      </w:r>
    </w:p>
    <w:p>
      <w:pPr>
        <w:spacing w:before="60" w:after="100"/>
      </w:pPr>
      <w:r>
        <w:rPr>
          <w:rFonts w:ascii="Arial" w:cs="Arial" w:eastAsia="Arial" w:hAnsi="Arial"/>
          <w:b w:val="false"/>
          <w:bCs w:val="false"/>
          <w:color w:val="1A1A2E"/>
          <w:sz w:val="20"/>
          <w:szCs w:val="20"/>
        </w:rPr>
        <w:t xml:space="preserve">The Snowflake data warehouse is organized in a three-schema medallion architecture to ensure data quality and query performance at scale:</w:t>
      </w:r>
    </w:p>
    <w:p>
      <w:pPr>
        <w:spacing w:before="0" w:after="80"/>
      </w:pPr>
      <w:r>
        <w:t xml:space="preserve"/>
      </w:r>
    </w:p>
    <w:p>
      <w:pPr>
        <w:pStyle w:val="ListParagraph"/>
        <w:numPr>
          <w:ilvl w:val="0"/>
          <w:numId w:val="2"/>
        </w:numPr>
        <w:spacing w:before="40" w:after="40"/>
      </w:pPr>
      <w:r>
        <w:rPr>
          <w:rFonts w:ascii="Arial" w:cs="Arial" w:eastAsia="Arial" w:hAnsi="Arial"/>
          <w:b/>
          <w:bCs/>
          <w:color w:val="1B3F8B"/>
          <w:sz w:val="20"/>
          <w:szCs w:val="20"/>
        </w:rPr>
        <w:t xml:space="preserve">RAW Layer — </w:t>
      </w:r>
      <w:r>
        <w:rPr>
          <w:rFonts w:ascii="Arial" w:cs="Arial" w:eastAsia="Arial" w:hAnsi="Arial"/>
          <w:color w:val="1A1A2E"/>
          <w:sz w:val="20"/>
          <w:szCs w:val="20"/>
        </w:rPr>
        <w:t xml:space="preserve">RAW Schema: Landing zone for all source data — untransformed, partitioned by ingestion_date. Handles 50M+ rows of transactional demand history across 50,000 SKUs.</w:t>
      </w:r>
    </w:p>
    <w:p>
      <w:pPr>
        <w:pStyle w:val="ListParagraph"/>
        <w:numPr>
          <w:ilvl w:val="0"/>
          <w:numId w:val="2"/>
        </w:numPr>
        <w:spacing w:before="40" w:after="40"/>
      </w:pPr>
      <w:r>
        <w:rPr>
          <w:rFonts w:ascii="Arial" w:cs="Arial" w:eastAsia="Arial" w:hAnsi="Arial"/>
          <w:b/>
          <w:bCs/>
          <w:color w:val="1B3F8B"/>
          <w:sz w:val="20"/>
          <w:szCs w:val="20"/>
        </w:rPr>
        <w:t xml:space="preserve">STAGING Layer — </w:t>
      </w:r>
      <w:r>
        <w:rPr>
          <w:rFonts w:ascii="Arial" w:cs="Arial" w:eastAsia="Arial" w:hAnsi="Arial"/>
          <w:color w:val="1A1A2E"/>
          <w:sz w:val="20"/>
          <w:szCs w:val="20"/>
        </w:rPr>
        <w:t xml:space="preserve">STAGING Schema: Cleaned, deduplicated, and standardized data. Business rules applied. Slowly Changing Dimensions (SCD Type 2) for SKU master data, supplier master, and location hierarchy.</w:t>
      </w:r>
    </w:p>
    <w:p>
      <w:pPr>
        <w:pStyle w:val="ListParagraph"/>
        <w:numPr>
          <w:ilvl w:val="0"/>
          <w:numId w:val="2"/>
        </w:numPr>
        <w:spacing w:before="40" w:after="40"/>
      </w:pPr>
      <w:r>
        <w:rPr>
          <w:rFonts w:ascii="Arial" w:cs="Arial" w:eastAsia="Arial" w:hAnsi="Arial"/>
          <w:b/>
          <w:bCs/>
          <w:color w:val="1B3F8B"/>
          <w:sz w:val="20"/>
          <w:szCs w:val="20"/>
        </w:rPr>
        <w:t xml:space="preserve">CURATED Layer — </w:t>
      </w:r>
      <w:r>
        <w:rPr>
          <w:rFonts w:ascii="Arial" w:cs="Arial" w:eastAsia="Arial" w:hAnsi="Arial"/>
          <w:color w:val="1A1A2E"/>
          <w:sz w:val="20"/>
          <w:szCs w:val="20"/>
        </w:rPr>
        <w:t xml:space="preserve">CURATED Schema: Analytical-ready star schema with FACT_DEMAND, FACT_INVENTORY, DIM_SKU, DIM_SUPPLIER, DIM_LOCATION, DIM_DATE. Clustered on date and SKU keys for sub-second query performance.</w:t>
      </w:r>
    </w:p>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3. Statistical Forecasting Module</w:t>
      </w:r>
    </w:p>
    <w:p>
      <w:pPr>
        <w:spacing w:before="60" w:after="100"/>
      </w:pPr>
      <w:r>
        <w:rPr>
          <w:rFonts w:ascii="Arial" w:cs="Arial" w:eastAsia="Arial" w:hAnsi="Arial"/>
          <w:b w:val="false"/>
          <w:bCs w:val="false"/>
          <w:color w:val="1A1A2E"/>
          <w:sz w:val="20"/>
          <w:szCs w:val="20"/>
        </w:rPr>
        <w:t xml:space="preserve">The forecasting module is the analytical core of this project. It generates monthly and quarterly demand forecasts for 50,000+ service parts with automated model selection, accuracy tracking, and business alerting.</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3.1 Forecasting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376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r>
              <w:rPr>
                <w:rFonts w:ascii="Arial" w:cs="Arial" w:eastAsia="Arial" w:hAnsi="Arial"/>
                <w:b/>
                <w:bCs/>
                <w:color w:val="FFFFFF"/>
                <w:sz w:val="18"/>
                <w:szCs w:val="18"/>
              </w:rPr>
              <w:t xml:space="preserve">Use Case</w:t>
            </w:r>
          </w:p>
        </w:tc>
        <w:tc>
          <w:tcPr>
            <w:tcW w:type="dxa" w:w="30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r>
              <w:rPr>
                <w:rFonts w:ascii="Arial" w:cs="Arial" w:eastAsia="Arial" w:hAnsi="Arial"/>
                <w:b/>
                <w:bCs/>
                <w:color w:val="FFFFFF"/>
                <w:sz w:val="18"/>
                <w:szCs w:val="18"/>
              </w:rPr>
              <w:t xml:space="preserve">Tool</w:t>
            </w:r>
          </w:p>
        </w:tc>
      </w:tr>
      <w:tr>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b/>
                <w:bCs/>
                <w:color w:val="1B3F8B"/>
                <w:sz w:val="18"/>
                <w:szCs w:val="18"/>
              </w:rPr>
              <w:t xml:space="preserve">Simple &amp; Weighted Moving Average</w:t>
            </w:r>
          </w:p>
        </w:tc>
        <w:tc>
          <w:tcPr>
            <w:tcW w:type="dxa" w:w="37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Stable, high-volume parts with low variability (A-class SKUs)</w:t>
            </w:r>
          </w:p>
        </w:tc>
        <w:tc>
          <w:tcPr>
            <w:tcW w:type="dxa" w:w="30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Snowflake SQL window functions</w:t>
            </w:r>
          </w:p>
        </w:tc>
      </w:tr>
      <w:tr>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b/>
                <w:bCs/>
                <w:color w:val="1B3F8B"/>
                <w:sz w:val="18"/>
                <w:szCs w:val="18"/>
              </w:rPr>
              <w:t xml:space="preserve">Exponential Smoothing (ETS)</w:t>
            </w:r>
          </w:p>
        </w:tc>
        <w:tc>
          <w:tcPr>
            <w:tcW w:type="dxa" w:w="37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Parts with trend or seasonal patterns — auto α/β/γ tuning</w:t>
            </w:r>
          </w:p>
        </w:tc>
        <w:tc>
          <w:tcPr>
            <w:tcW w:type="dxa" w:w="30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Python statsmodels</w:t>
            </w:r>
          </w:p>
        </w:tc>
      </w:tr>
      <w:tr>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b/>
                <w:bCs/>
                <w:color w:val="1B3F8B"/>
                <w:sz w:val="18"/>
                <w:szCs w:val="18"/>
              </w:rPr>
              <w:t xml:space="preserve">ARIMA / SARIMA</w:t>
            </w:r>
          </w:p>
        </w:tc>
        <w:tc>
          <w:tcPr>
            <w:tcW w:type="dxa" w:w="37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SKUs with clear seasonality + autocorrelation (e.g., monsoon-driven parts)</w:t>
            </w:r>
          </w:p>
        </w:tc>
        <w:tc>
          <w:tcPr>
            <w:tcW w:type="dxa" w:w="30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Python pmdarima (auto-ARIMA)</w:t>
            </w:r>
          </w:p>
        </w:tc>
      </w:tr>
      <w:tr>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b/>
                <w:bCs/>
                <w:color w:val="1B3F8B"/>
                <w:sz w:val="18"/>
                <w:szCs w:val="18"/>
              </w:rPr>
              <w:t xml:space="preserve">Croston's Method</w:t>
            </w:r>
          </w:p>
        </w:tc>
        <w:tc>
          <w:tcPr>
            <w:tcW w:type="dxa" w:w="37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Intermittent demand — slow-moving &amp; sporadic C-class parts</w:t>
            </w:r>
          </w:p>
        </w:tc>
        <w:tc>
          <w:tcPr>
            <w:tcW w:type="dxa" w:w="30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Python custom implementation</w:t>
            </w:r>
          </w:p>
        </w:tc>
      </w:tr>
      <w:tr>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b/>
                <w:bCs/>
                <w:color w:val="1B3F8B"/>
                <w:sz w:val="18"/>
                <w:szCs w:val="18"/>
              </w:rPr>
              <w:t xml:space="preserve">Ensemble / Hybrid Model</w:t>
            </w:r>
          </w:p>
        </w:tc>
        <w:tc>
          <w:tcPr>
            <w:tcW w:type="dxa" w:w="37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High-value SKUs — blends ETS + ARIMA + XGBoost for best MAPE</w:t>
            </w:r>
          </w:p>
        </w:tc>
        <w:tc>
          <w:tcPr>
            <w:tcW w:type="dxa" w:w="30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Python scikit-learn + statsmodels</w:t>
            </w:r>
          </w:p>
        </w:tc>
      </w:tr>
    </w:tbl>
    <w:p>
      <w:pPr>
        <w:spacing w:before="0" w:after="80"/>
      </w:pPr>
      <w:r>
        <w:t xml:space="preserve"/>
      </w:r>
    </w:p>
    <w:p>
      <w:pPr>
        <w:pStyle w:val="Heading2"/>
        <w:spacing w:before="260" w:after="120"/>
      </w:pPr>
      <w:r>
        <w:rPr>
          <w:rFonts w:ascii="Arial" w:cs="Arial" w:eastAsia="Arial" w:hAnsi="Arial"/>
          <w:b/>
          <w:bCs/>
          <w:color w:val="0E7C7B"/>
          <w:sz w:val="24"/>
          <w:szCs w:val="24"/>
        </w:rPr>
        <w:t xml:space="preserve">3.2 Forecast Accuracy Measurement (KPI Framework)</w:t>
      </w:r>
    </w:p>
    <w:p>
      <w:pPr>
        <w:spacing w:before="60" w:after="100"/>
      </w:pPr>
      <w:r>
        <w:rPr>
          <w:rFonts w:ascii="Arial" w:cs="Arial" w:eastAsia="Arial" w:hAnsi="Arial"/>
          <w:b w:val="false"/>
          <w:bCs w:val="false"/>
          <w:color w:val="1A1A2E"/>
          <w:sz w:val="20"/>
          <w:szCs w:val="20"/>
        </w:rPr>
        <w:t xml:space="preserve">Forecast accuracy is measured and tracked monthly for every SKU. Results are stored in Snowflake and surfaced in Power BI:</w:t>
      </w:r>
    </w:p>
    <w:p>
      <w:pPr>
        <w:pStyle w:val="ListParagraph"/>
        <w:numPr>
          <w:ilvl w:val="0"/>
          <w:numId w:val="2"/>
        </w:numPr>
        <w:spacing w:before="40" w:after="40"/>
      </w:pPr>
      <w:r>
        <w:rPr>
          <w:rFonts w:ascii="Arial" w:cs="Arial" w:eastAsia="Arial" w:hAnsi="Arial"/>
          <w:color w:val="1A1A2E"/>
          <w:sz w:val="20"/>
          <w:szCs w:val="20"/>
        </w:rPr>
        <w:t xml:space="preserve">MAPE (Mean Absolute Percentage Error) — primary accuracy KPI; target &lt; 15% for A-class SKUs</w:t>
      </w:r>
    </w:p>
    <w:p>
      <w:pPr>
        <w:pStyle w:val="ListParagraph"/>
        <w:numPr>
          <w:ilvl w:val="0"/>
          <w:numId w:val="2"/>
        </w:numPr>
        <w:spacing w:before="40" w:after="40"/>
      </w:pPr>
      <w:r>
        <w:rPr>
          <w:rFonts w:ascii="Arial" w:cs="Arial" w:eastAsia="Arial" w:hAnsi="Arial"/>
          <w:color w:val="1A1A2E"/>
          <w:sz w:val="20"/>
          <w:szCs w:val="20"/>
        </w:rPr>
        <w:t xml:space="preserve">MAE (Mean Absolute Error) — absolute unit error for operational planning</w:t>
      </w:r>
    </w:p>
    <w:p>
      <w:pPr>
        <w:pStyle w:val="ListParagraph"/>
        <w:numPr>
          <w:ilvl w:val="0"/>
          <w:numId w:val="2"/>
        </w:numPr>
        <w:spacing w:before="40" w:after="40"/>
      </w:pPr>
      <w:r>
        <w:rPr>
          <w:rFonts w:ascii="Arial" w:cs="Arial" w:eastAsia="Arial" w:hAnsi="Arial"/>
          <w:color w:val="1A1A2E"/>
          <w:sz w:val="20"/>
          <w:szCs w:val="20"/>
        </w:rPr>
        <w:t xml:space="preserve">RMSE (Root Mean Squared Error) — penalizes large deviations; used for high-value parts</w:t>
      </w:r>
    </w:p>
    <w:p>
      <w:pPr>
        <w:pStyle w:val="ListParagraph"/>
        <w:numPr>
          <w:ilvl w:val="0"/>
          <w:numId w:val="2"/>
        </w:numPr>
        <w:spacing w:before="40" w:after="40"/>
      </w:pPr>
      <w:r>
        <w:rPr>
          <w:rFonts w:ascii="Arial" w:cs="Arial" w:eastAsia="Arial" w:hAnsi="Arial"/>
          <w:color w:val="1A1A2E"/>
          <w:sz w:val="20"/>
          <w:szCs w:val="20"/>
        </w:rPr>
        <w:t xml:space="preserve">Bias Tracking — identifies systematic over/under-forecasting trends by supplier, region, or part category</w:t>
      </w:r>
    </w:p>
    <w:p>
      <w:pPr>
        <w:pStyle w:val="ListParagraph"/>
        <w:numPr>
          <w:ilvl w:val="0"/>
          <w:numId w:val="2"/>
        </w:numPr>
        <w:spacing w:before="40" w:after="40"/>
      </w:pPr>
      <w:r>
        <w:rPr>
          <w:rFonts w:ascii="Arial" w:cs="Arial" w:eastAsia="Arial" w:hAnsi="Arial"/>
          <w:color w:val="1A1A2E"/>
          <w:sz w:val="20"/>
          <w:szCs w:val="20"/>
        </w:rPr>
        <w:t xml:space="preserve">Forecast Value Added (FVA) — measures how much the model improves over a naïve baseline forecast</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3.3 Monthly &amp; Quarterly Forecasting Cadence</w:t>
      </w:r>
    </w:p>
    <w:p>
      <w:pPr>
        <w:pStyle w:val="ListParagraph"/>
        <w:numPr>
          <w:ilvl w:val="0"/>
          <w:numId w:val="2"/>
        </w:numPr>
        <w:spacing w:before="40" w:after="40"/>
      </w:pPr>
      <w:r>
        <w:rPr>
          <w:rFonts w:ascii="Arial" w:cs="Arial" w:eastAsia="Arial" w:hAnsi="Arial"/>
          <w:color w:val="1A1A2E"/>
          <w:sz w:val="20"/>
          <w:szCs w:val="20"/>
        </w:rPr>
        <w:t xml:space="preserve">Monthly Run: Automated pipeline triggers on 1st of each month — refreshes 18-month rolling forecast for all active SKUs</w:t>
      </w:r>
    </w:p>
    <w:p>
      <w:pPr>
        <w:pStyle w:val="ListParagraph"/>
        <w:numPr>
          <w:ilvl w:val="0"/>
          <w:numId w:val="2"/>
        </w:numPr>
        <w:spacing w:before="40" w:after="40"/>
      </w:pPr>
      <w:r>
        <w:rPr>
          <w:rFonts w:ascii="Arial" w:cs="Arial" w:eastAsia="Arial" w:hAnsi="Arial"/>
          <w:color w:val="1A1A2E"/>
          <w:sz w:val="20"/>
          <w:szCs w:val="20"/>
        </w:rPr>
        <w:t xml:space="preserve">Quarterly Business Review (QBR) Pack: Consolidated trend analysis, model performance review, and forward-looking scenario planning delivered to stakeholders as Power BI report + PDF</w:t>
      </w:r>
    </w:p>
    <w:p>
      <w:pPr>
        <w:pStyle w:val="ListParagraph"/>
        <w:numPr>
          <w:ilvl w:val="0"/>
          <w:numId w:val="2"/>
        </w:numPr>
        <w:spacing w:before="40" w:after="40"/>
      </w:pPr>
      <w:r>
        <w:rPr>
          <w:rFonts w:ascii="Arial" w:cs="Arial" w:eastAsia="Arial" w:hAnsi="Arial"/>
          <w:color w:val="1A1A2E"/>
          <w:sz w:val="20"/>
          <w:szCs w:val="20"/>
        </w:rPr>
        <w:t xml:space="preserve">Ad-hoc Forecasting: Self-service Power BI model enables regional managers to run what-if scenarios (demand spike +30%, lead time +2 weeks)</w:t>
      </w:r>
    </w:p>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4. Inventory Optimization &amp; SKU Rationalization</w:t>
      </w:r>
    </w:p>
    <w:p>
      <w:pPr>
        <w:pStyle w:val="Heading2"/>
        <w:spacing w:before="260" w:after="120"/>
      </w:pPr>
      <w:r>
        <w:rPr>
          <w:rFonts w:ascii="Arial" w:cs="Arial" w:eastAsia="Arial" w:hAnsi="Arial"/>
          <w:b/>
          <w:bCs/>
          <w:color w:val="0E7C7B"/>
          <w:sz w:val="24"/>
          <w:szCs w:val="24"/>
        </w:rPr>
        <w:t xml:space="preserve">4.1 ABC-XYZ SKU Classification Engine</w:t>
      </w:r>
    </w:p>
    <w:p>
      <w:pPr>
        <w:spacing w:before="60" w:after="100"/>
      </w:pPr>
      <w:r>
        <w:rPr>
          <w:rFonts w:ascii="Arial" w:cs="Arial" w:eastAsia="Arial" w:hAnsi="Arial"/>
          <w:b w:val="false"/>
          <w:bCs w:val="false"/>
          <w:color w:val="1A1A2E"/>
          <w:sz w:val="20"/>
          <w:szCs w:val="20"/>
        </w:rPr>
        <w:t xml:space="preserve">50,000+ SKUs are automatically classified every quarter using a two-dimensional matrix built entirely in Snowflake SQL: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Class</w:t>
            </w:r>
          </w:p>
        </w:tc>
        <w:tc>
          <w:tcPr>
            <w:tcW w:type="dxa" w:w="26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ABC (Revenue %)</w:t>
            </w:r>
          </w:p>
        </w:tc>
        <w:tc>
          <w:tcPr>
            <w:tcW w:type="dxa" w:w="26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XYZ (Demand Variability)</w:t>
            </w:r>
          </w:p>
        </w:tc>
        <w:tc>
          <w:tcPr>
            <w:tcW w:type="dxa" w:w="26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w:t>
            </w:r>
          </w:p>
        </w:tc>
      </w:tr>
      <w:tr>
        <w:tc>
          <w:tcPr>
            <w:tcW w:type="dxa" w:w="15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AX</w:t>
            </w:r>
          </w:p>
        </w:tc>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Top 70% revenue</w:t>
            </w:r>
          </w:p>
        </w:tc>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Low variability (CV &lt; 0.5)</w:t>
            </w:r>
          </w:p>
        </w:tc>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Optimize reorder point — high priority</w:t>
            </w:r>
          </w:p>
        </w:tc>
      </w:tr>
      <w:tr>
        <w:tc>
          <w:tcPr>
            <w:tcW w:type="dxa" w:w="15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AY</w:t>
            </w:r>
          </w:p>
        </w:tc>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Top 70% revenue</w:t>
            </w:r>
          </w:p>
        </w:tc>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 variability</w:t>
            </w:r>
          </w:p>
        </w:tc>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Increase safety stock buffer</w:t>
            </w:r>
          </w:p>
        </w:tc>
      </w:tr>
      <w:tr>
        <w:tc>
          <w:tcPr>
            <w:tcW w:type="dxa" w:w="15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AZ</w:t>
            </w:r>
          </w:p>
        </w:tc>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Top 70% revenue</w:t>
            </w:r>
          </w:p>
        </w:tc>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High variability (CV &gt; 1)</w:t>
            </w:r>
          </w:p>
        </w:tc>
        <w:tc>
          <w:tcPr>
            <w:tcW w:type="dxa" w:w="26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Consignment or VMI model</w:t>
            </w:r>
          </w:p>
        </w:tc>
      </w:tr>
      <w:tr>
        <w:tc>
          <w:tcPr>
            <w:tcW w:type="dxa" w:w="15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CZ</w:t>
            </w:r>
          </w:p>
        </w:tc>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Bottom 10% revenue</w:t>
            </w:r>
          </w:p>
        </w:tc>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 variability</w:t>
            </w:r>
          </w:p>
        </w:tc>
        <w:tc>
          <w:tcPr>
            <w:tcW w:type="dxa" w:w="26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Rationalization candidate — review for elimination</w:t>
            </w:r>
          </w:p>
        </w:tc>
      </w:tr>
    </w:tbl>
    <w:p>
      <w:pPr>
        <w:spacing w:before="0" w:after="80"/>
      </w:pPr>
      <w:r>
        <w:t xml:space="preserve"/>
      </w:r>
    </w:p>
    <w:p>
      <w:pPr>
        <w:spacing w:before="60" w:after="100"/>
      </w:pPr>
      <w:r>
        <w:rPr>
          <w:rFonts w:ascii="Arial" w:cs="Arial" w:eastAsia="Arial" w:hAnsi="Arial"/>
          <w:b w:val="false"/>
          <w:bCs w:val="false"/>
          <w:color w:val="1A1A2E"/>
          <w:sz w:val="20"/>
          <w:szCs w:val="20"/>
        </w:rPr>
        <w:t xml:space="preserve">Outcome: 15–18% of SKUs identified as rationalization candidates, projected to reduce inventory carrying costs by ~8% annually.</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4.2 Dynamic Safety Stock &amp; Reorder Point Engine</w:t>
      </w:r>
    </w:p>
    <w:p>
      <w:pPr>
        <w:pStyle w:val="ListParagraph"/>
        <w:numPr>
          <w:ilvl w:val="0"/>
          <w:numId w:val="2"/>
        </w:numPr>
        <w:spacing w:before="40" w:after="40"/>
      </w:pPr>
      <w:r>
        <w:rPr>
          <w:rFonts w:ascii="Arial" w:cs="Arial" w:eastAsia="Arial" w:hAnsi="Arial"/>
          <w:b/>
          <w:bCs/>
          <w:color w:val="1B3F8B"/>
          <w:sz w:val="20"/>
          <w:szCs w:val="20"/>
        </w:rPr>
        <w:t xml:space="preserve">Formula: </w:t>
      </w:r>
      <w:r>
        <w:rPr>
          <w:rFonts w:ascii="Arial" w:cs="Arial" w:eastAsia="Arial" w:hAnsi="Arial"/>
          <w:color w:val="1A1A2E"/>
          <w:sz w:val="20"/>
          <w:szCs w:val="20"/>
        </w:rPr>
        <w:t xml:space="preserve">Safety Stock = Z-score × σ_demand × √(Lead Time) — calculated per SKU, updated monthly as new demand data flows in</w:t>
      </w:r>
    </w:p>
    <w:p>
      <w:pPr>
        <w:pStyle w:val="ListParagraph"/>
        <w:numPr>
          <w:ilvl w:val="0"/>
          <w:numId w:val="2"/>
        </w:numPr>
        <w:spacing w:before="40" w:after="40"/>
      </w:pPr>
      <w:r>
        <w:rPr>
          <w:rFonts w:ascii="Arial" w:cs="Arial" w:eastAsia="Arial" w:hAnsi="Arial"/>
          <w:b/>
          <w:bCs/>
          <w:color w:val="1B3F8B"/>
          <w:sz w:val="20"/>
          <w:szCs w:val="20"/>
        </w:rPr>
        <w:t xml:space="preserve">Formula: </w:t>
      </w:r>
      <w:r>
        <w:rPr>
          <w:rFonts w:ascii="Arial" w:cs="Arial" w:eastAsia="Arial" w:hAnsi="Arial"/>
          <w:color w:val="1A1A2E"/>
          <w:sz w:val="20"/>
          <w:szCs w:val="20"/>
        </w:rPr>
        <w:t xml:space="preserve">Reorder Point = (Average Daily Demand × Lead Time) + Safety Stock — triggers automated procurement alerts via Power BI</w:t>
      </w:r>
    </w:p>
    <w:p>
      <w:pPr>
        <w:pStyle w:val="ListParagraph"/>
        <w:numPr>
          <w:ilvl w:val="0"/>
          <w:numId w:val="2"/>
        </w:numPr>
        <w:spacing w:before="40" w:after="40"/>
      </w:pPr>
      <w:r>
        <w:rPr>
          <w:rFonts w:ascii="Arial" w:cs="Arial" w:eastAsia="Arial" w:hAnsi="Arial"/>
          <w:color w:val="1A1A2E"/>
          <w:sz w:val="20"/>
          <w:szCs w:val="20"/>
        </w:rPr>
        <w:t xml:space="preserve">Service Level Optimization: Tested 95%, 97%, and 99% service levels — identified optimal service level per SKU class to minimize total cost</w:t>
      </w:r>
    </w:p>
    <w:p>
      <w:pPr>
        <w:pStyle w:val="ListParagraph"/>
        <w:numPr>
          <w:ilvl w:val="0"/>
          <w:numId w:val="2"/>
        </w:numPr>
        <w:spacing w:before="40" w:after="40"/>
      </w:pPr>
      <w:r>
        <w:rPr>
          <w:rFonts w:ascii="Arial" w:cs="Arial" w:eastAsia="Arial" w:hAnsi="Arial"/>
          <w:color w:val="1A1A2E"/>
          <w:sz w:val="20"/>
          <w:szCs w:val="20"/>
        </w:rPr>
        <w:t xml:space="preserve">Result: Stockout incidents reduced by ~22% in simulation vs legacy fixed-quantity reorder model</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4.3 Inventory Performance KPIs (Snowflake-computed, Power BI displayed)</w:t>
      </w:r>
    </w:p>
    <w:p>
      <w:pPr>
        <w:pStyle w:val="ListParagraph"/>
        <w:numPr>
          <w:ilvl w:val="0"/>
          <w:numId w:val="2"/>
        </w:numPr>
        <w:spacing w:before="40" w:after="40"/>
      </w:pPr>
      <w:r>
        <w:rPr>
          <w:rFonts w:ascii="Arial" w:cs="Arial" w:eastAsia="Arial" w:hAnsi="Arial"/>
          <w:color w:val="1A1A2E"/>
          <w:sz w:val="20"/>
          <w:szCs w:val="20"/>
        </w:rPr>
        <w:t xml:space="preserve">Inventory Turnover Ratio = COGS / Average Inventory — tracked monthly by region and SKU class</w:t>
      </w:r>
    </w:p>
    <w:p>
      <w:pPr>
        <w:pStyle w:val="ListParagraph"/>
        <w:numPr>
          <w:ilvl w:val="0"/>
          <w:numId w:val="2"/>
        </w:numPr>
        <w:spacing w:before="40" w:after="40"/>
      </w:pPr>
      <w:r>
        <w:rPr>
          <w:rFonts w:ascii="Arial" w:cs="Arial" w:eastAsia="Arial" w:hAnsi="Arial"/>
          <w:color w:val="1A1A2E"/>
          <w:sz w:val="20"/>
          <w:szCs w:val="20"/>
        </w:rPr>
        <w:t xml:space="preserve">Days of Supply (DOS) = On-hand Inventory / Average Daily Demand — flagged when DOS exceeds 90 days</w:t>
      </w:r>
    </w:p>
    <w:p>
      <w:pPr>
        <w:pStyle w:val="ListParagraph"/>
        <w:numPr>
          <w:ilvl w:val="0"/>
          <w:numId w:val="2"/>
        </w:numPr>
        <w:spacing w:before="40" w:after="40"/>
      </w:pPr>
      <w:r>
        <w:rPr>
          <w:rFonts w:ascii="Arial" w:cs="Arial" w:eastAsia="Arial" w:hAnsi="Arial"/>
          <w:color w:val="1A1A2E"/>
          <w:sz w:val="20"/>
          <w:szCs w:val="20"/>
        </w:rPr>
        <w:t xml:space="preserve">Fill Rate = Orders Filled on Time / Total Orders — target &gt; 95% for A-class SKUs</w:t>
      </w:r>
    </w:p>
    <w:p>
      <w:pPr>
        <w:pStyle w:val="ListParagraph"/>
        <w:numPr>
          <w:ilvl w:val="0"/>
          <w:numId w:val="2"/>
        </w:numPr>
        <w:spacing w:before="40" w:after="40"/>
      </w:pPr>
      <w:r>
        <w:rPr>
          <w:rFonts w:ascii="Arial" w:cs="Arial" w:eastAsia="Arial" w:hAnsi="Arial"/>
          <w:color w:val="1A1A2E"/>
          <w:sz w:val="20"/>
          <w:szCs w:val="20"/>
        </w:rPr>
        <w:t xml:space="preserve">Excess &amp; Obsolescence (E&amp;O) Value — monthly dollar value of aging inventory flagged for write-down</w:t>
      </w:r>
    </w:p>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5. Big Data Handling Capabilities</w:t>
      </w:r>
    </w:p>
    <w:p>
      <w:pPr>
        <w:spacing w:before="60" w:after="100"/>
      </w:pPr>
      <w:r>
        <w:rPr>
          <w:rFonts w:ascii="Arial" w:cs="Arial" w:eastAsia="Arial" w:hAnsi="Arial"/>
          <w:b w:val="false"/>
          <w:bCs w:val="false"/>
          <w:color w:val="1A1A2E"/>
          <w:sz w:val="20"/>
          <w:szCs w:val="20"/>
        </w:rPr>
        <w:t xml:space="preserve">This project is specifically designed to demonstrate enterprise-scale data engineering competence alongside analytical skills — a differentiated capability set for a senior BA role.</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5.1 Data Volume &amp;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r>
              <w:rPr>
                <w:rFonts w:ascii="Arial" w:cs="Arial" w:eastAsia="Arial" w:hAnsi="Arial"/>
                <w:b/>
                <w:bCs/>
                <w:color w:val="FFFFFF"/>
                <w:sz w:val="18"/>
                <w:szCs w:val="18"/>
              </w:rPr>
              <w:t xml:space="preserve">Dimension</w:t>
            </w:r>
          </w:p>
        </w:tc>
        <w:tc>
          <w:tcPr>
            <w:tcW w:type="dxa" w:w="636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r>
              <w:rPr>
                <w:rFonts w:ascii="Arial" w:cs="Arial" w:eastAsia="Arial" w:hAnsi="Arial"/>
                <w:b/>
                <w:bCs/>
                <w:color w:val="FFFFFF"/>
                <w:sz w:val="18"/>
                <w:szCs w:val="18"/>
              </w:rPr>
              <w:t xml:space="preserve">Specification</w:t>
            </w:r>
          </w:p>
        </w:tc>
      </w:tr>
      <w:tr>
        <w:tc>
          <w:tcPr>
            <w:tcW w:type="dxa" w:w="30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b/>
                <w:bCs/>
                <w:color w:val="1B3F8B"/>
                <w:sz w:val="18"/>
                <w:szCs w:val="18"/>
              </w:rPr>
              <w:t xml:space="preserve">Total Data Volume</w:t>
            </w:r>
          </w:p>
        </w:tc>
        <w:tc>
          <w:tcPr>
            <w:tcW w:type="dxa" w:w="636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3.2 TB across 24 months of transactional demand, inventory, and supplier history</w:t>
            </w:r>
          </w:p>
        </w:tc>
      </w:tr>
      <w:tr>
        <w:tc>
          <w:tcPr>
            <w:tcW w:type="dxa" w:w="3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b/>
                <w:bCs/>
                <w:color w:val="1B3F8B"/>
                <w:sz w:val="18"/>
                <w:szCs w:val="18"/>
              </w:rPr>
              <w:t xml:space="preserve">SKU Count</w:t>
            </w:r>
          </w:p>
        </w:tc>
        <w:tc>
          <w:tcPr>
            <w:tcW w:type="dxa" w:w="636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50,000+ active service parts across 12 product categories and 8 global regions</w:t>
            </w:r>
          </w:p>
        </w:tc>
      </w:tr>
      <w:tr>
        <w:tc>
          <w:tcPr>
            <w:tcW w:type="dxa" w:w="30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b/>
                <w:bCs/>
                <w:color w:val="1B3F8B"/>
                <w:sz w:val="18"/>
                <w:szCs w:val="18"/>
              </w:rPr>
              <w:t xml:space="preserve">Transaction Records</w:t>
            </w:r>
          </w:p>
        </w:tc>
        <w:tc>
          <w:tcPr>
            <w:tcW w:type="dxa" w:w="636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180 million+ rows in FACT_DEMAND table; 95 million rows in FACT_INVENTORY</w:t>
            </w:r>
          </w:p>
        </w:tc>
      </w:tr>
      <w:tr>
        <w:tc>
          <w:tcPr>
            <w:tcW w:type="dxa" w:w="3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b/>
                <w:bCs/>
                <w:color w:val="1B3F8B"/>
                <w:sz w:val="18"/>
                <w:szCs w:val="18"/>
              </w:rPr>
              <w:t xml:space="preserve">Data Sources</w:t>
            </w:r>
          </w:p>
        </w:tc>
        <w:tc>
          <w:tcPr>
            <w:tcW w:type="dxa" w:w="636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15+ source systems: SAP ERP, Oracle WMS, logistics APIs, supplier EDI feeds, weather/macro data</w:t>
            </w:r>
          </w:p>
        </w:tc>
      </w:tr>
      <w:tr>
        <w:tc>
          <w:tcPr>
            <w:tcW w:type="dxa" w:w="30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b/>
                <w:bCs/>
                <w:color w:val="1B3F8B"/>
                <w:sz w:val="18"/>
                <w:szCs w:val="18"/>
              </w:rPr>
              <w:t xml:space="preserve">Ingestion Frequency</w:t>
            </w:r>
          </w:p>
        </w:tc>
        <w:tc>
          <w:tcPr>
            <w:tcW w:type="dxa" w:w="636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Daily incremental loads via ADF; monthly full refresh; real-time alerts via Snowflake Streams</w:t>
            </w:r>
          </w:p>
        </w:tc>
      </w:tr>
      <w:tr>
        <w:tc>
          <w:tcPr>
            <w:tcW w:type="dxa" w:w="3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b/>
                <w:bCs/>
                <w:color w:val="1B3F8B"/>
                <w:sz w:val="18"/>
                <w:szCs w:val="18"/>
              </w:rPr>
              <w:t xml:space="preserve">Query Performance</w:t>
            </w:r>
          </w:p>
        </w:tc>
        <w:tc>
          <w:tcPr>
            <w:tcW w:type="dxa" w:w="636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Sub-5 second response on 50M+ row aggregations using Snowflake clustering keys + result caching</w:t>
            </w:r>
          </w:p>
        </w:tc>
      </w:tr>
    </w:tbl>
    <w:p>
      <w:pPr>
        <w:spacing w:before="0" w:after="80"/>
      </w:pPr>
      <w:r>
        <w:t xml:space="preserve"/>
      </w:r>
    </w:p>
    <w:p>
      <w:pPr>
        <w:pStyle w:val="Heading2"/>
        <w:spacing w:before="260" w:after="120"/>
      </w:pPr>
      <w:r>
        <w:rPr>
          <w:rFonts w:ascii="Arial" w:cs="Arial" w:eastAsia="Arial" w:hAnsi="Arial"/>
          <w:b/>
          <w:bCs/>
          <w:color w:val="0E7C7B"/>
          <w:sz w:val="24"/>
          <w:szCs w:val="24"/>
        </w:rPr>
        <w:t xml:space="preserve">5.2 Snowflake-Specific Big Data Techniques Used</w:t>
      </w:r>
    </w:p>
    <w:p>
      <w:pPr>
        <w:pStyle w:val="ListParagraph"/>
        <w:numPr>
          <w:ilvl w:val="0"/>
          <w:numId w:val="2"/>
        </w:numPr>
        <w:spacing w:before="40" w:after="40"/>
      </w:pPr>
      <w:r>
        <w:rPr>
          <w:rFonts w:ascii="Arial" w:cs="Arial" w:eastAsia="Arial" w:hAnsi="Arial"/>
          <w:color w:val="1A1A2E"/>
          <w:sz w:val="20"/>
          <w:szCs w:val="20"/>
        </w:rPr>
        <w:t xml:space="preserve">Clustering Keys: FACT_DEMAND clustered on (REGION_ID, SKU_CLASS, DEMAND_DATE) — reduces scan costs by 70%+ on filtered queries</w:t>
      </w:r>
    </w:p>
    <w:p>
      <w:pPr>
        <w:pStyle w:val="ListParagraph"/>
        <w:numPr>
          <w:ilvl w:val="0"/>
          <w:numId w:val="2"/>
        </w:numPr>
        <w:spacing w:before="40" w:after="40"/>
      </w:pPr>
      <w:r>
        <w:rPr>
          <w:rFonts w:ascii="Arial" w:cs="Arial" w:eastAsia="Arial" w:hAnsi="Arial"/>
          <w:color w:val="1A1A2E"/>
          <w:sz w:val="20"/>
          <w:szCs w:val="20"/>
        </w:rPr>
        <w:t xml:space="preserve">Snowflake Streams &amp; Tasks: Automated change data capture (CDC) detects new demand records and triggers forecasting refresh pipeline nightly</w:t>
      </w:r>
    </w:p>
    <w:p>
      <w:pPr>
        <w:pStyle w:val="ListParagraph"/>
        <w:numPr>
          <w:ilvl w:val="0"/>
          <w:numId w:val="2"/>
        </w:numPr>
        <w:spacing w:before="40" w:after="40"/>
      </w:pPr>
      <w:r>
        <w:rPr>
          <w:rFonts w:ascii="Arial" w:cs="Arial" w:eastAsia="Arial" w:hAnsi="Arial"/>
          <w:color w:val="1A1A2E"/>
          <w:sz w:val="20"/>
          <w:szCs w:val="20"/>
        </w:rPr>
        <w:t xml:space="preserve">Time Travel (90-day): Used for month-end reconciliation — rewind to any prior state for audit and variance analysis</w:t>
      </w:r>
    </w:p>
    <w:p>
      <w:pPr>
        <w:pStyle w:val="ListParagraph"/>
        <w:numPr>
          <w:ilvl w:val="0"/>
          <w:numId w:val="2"/>
        </w:numPr>
        <w:spacing w:before="40" w:after="40"/>
      </w:pPr>
      <w:r>
        <w:rPr>
          <w:rFonts w:ascii="Arial" w:cs="Arial" w:eastAsia="Arial" w:hAnsi="Arial"/>
          <w:color w:val="1A1A2E"/>
          <w:sz w:val="20"/>
          <w:szCs w:val="20"/>
        </w:rPr>
        <w:t xml:space="preserve">Zero-Copy Cloning: Dev/test environments cloned from production in seconds without data duplication costs</w:t>
      </w:r>
    </w:p>
    <w:p>
      <w:pPr>
        <w:pStyle w:val="ListParagraph"/>
        <w:numPr>
          <w:ilvl w:val="0"/>
          <w:numId w:val="2"/>
        </w:numPr>
        <w:spacing w:before="40" w:after="40"/>
      </w:pPr>
      <w:r>
        <w:rPr>
          <w:rFonts w:ascii="Arial" w:cs="Arial" w:eastAsia="Arial" w:hAnsi="Arial"/>
          <w:color w:val="1A1A2E"/>
          <w:sz w:val="20"/>
          <w:szCs w:val="20"/>
        </w:rPr>
        <w:t xml:space="preserve">Materialized Views: Pre-aggregated monthly demand summaries by region and SKU class for dashboard performance</w:t>
      </w:r>
    </w:p>
    <w:p>
      <w:pPr>
        <w:pStyle w:val="ListParagraph"/>
        <w:numPr>
          <w:ilvl w:val="0"/>
          <w:numId w:val="2"/>
        </w:numPr>
        <w:spacing w:before="40" w:after="40"/>
      </w:pPr>
      <w:r>
        <w:rPr>
          <w:rFonts w:ascii="Arial" w:cs="Arial" w:eastAsia="Arial" w:hAnsi="Arial"/>
          <w:color w:val="1A1A2E"/>
          <w:sz w:val="20"/>
          <w:szCs w:val="20"/>
        </w:rPr>
        <w:t xml:space="preserve">External Tables + Snowpipe: Macro-economic and weather CSV files from S3 auto-ingested for external factor analysis</w:t>
      </w:r>
    </w:p>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6. Reporting &amp; Stakeholder Deliverables</w:t>
      </w:r>
    </w:p>
    <w:p>
      <w:pPr>
        <w:spacing w:before="60" w:after="100"/>
      </w:pPr>
      <w:r>
        <w:rPr>
          <w:rFonts w:ascii="Arial" w:cs="Arial" w:eastAsia="Arial" w:hAnsi="Arial"/>
          <w:b w:val="false"/>
          <w:bCs w:val="false"/>
          <w:color w:val="1A1A2E"/>
          <w:sz w:val="20"/>
          <w:szCs w:val="20"/>
        </w:rPr>
        <w:t xml:space="preserve">The reporting framework is designed for three distinct stakeholder tiers — operational teams, regional managers, and C-suite executives — with content and format tailored to each audience.</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6.1 Power BI Dashboard Suite</w:t>
      </w:r>
    </w:p>
    <w:p>
      <w:pPr>
        <w:pStyle w:val="ListParagraph"/>
        <w:numPr>
          <w:ilvl w:val="0"/>
          <w:numId w:val="2"/>
        </w:numPr>
        <w:spacing w:before="40" w:after="40"/>
      </w:pPr>
      <w:r>
        <w:rPr>
          <w:rFonts w:ascii="Arial" w:cs="Arial" w:eastAsia="Arial" w:hAnsi="Arial"/>
          <w:b/>
          <w:bCs/>
          <w:color w:val="1B3F8B"/>
          <w:sz w:val="20"/>
          <w:szCs w:val="20"/>
        </w:rPr>
        <w:t xml:space="preserve">Dashboard 1 — </w:t>
      </w:r>
      <w:r>
        <w:rPr>
          <w:rFonts w:ascii="Arial" w:cs="Arial" w:eastAsia="Arial" w:hAnsi="Arial"/>
          <w:color w:val="1A1A2E"/>
          <w:sz w:val="20"/>
          <w:szCs w:val="20"/>
        </w:rPr>
        <w:t xml:space="preserve">Forecast vs Actuals Dashboard: Interactive time series showing demand forecast vs actual consumption with drill-down to SKU, region, and supplier level</w:t>
      </w:r>
    </w:p>
    <w:p>
      <w:pPr>
        <w:pStyle w:val="ListParagraph"/>
        <w:numPr>
          <w:ilvl w:val="0"/>
          <w:numId w:val="2"/>
        </w:numPr>
        <w:spacing w:before="40" w:after="40"/>
      </w:pPr>
      <w:r>
        <w:rPr>
          <w:rFonts w:ascii="Arial" w:cs="Arial" w:eastAsia="Arial" w:hAnsi="Arial"/>
          <w:b/>
          <w:bCs/>
          <w:color w:val="1B3F8B"/>
          <w:sz w:val="20"/>
          <w:szCs w:val="20"/>
        </w:rPr>
        <w:t xml:space="preserve">Dashboard 2 — </w:t>
      </w:r>
      <w:r>
        <w:rPr>
          <w:rFonts w:ascii="Arial" w:cs="Arial" w:eastAsia="Arial" w:hAnsi="Arial"/>
          <w:color w:val="1A1A2E"/>
          <w:sz w:val="20"/>
          <w:szCs w:val="20"/>
        </w:rPr>
        <w:t xml:space="preserve">Inventory Health Dashboard: Real-time inventory turnover, DOS, fill rate, and stockout heatmap across 8 global regions</w:t>
      </w:r>
    </w:p>
    <w:p>
      <w:pPr>
        <w:pStyle w:val="ListParagraph"/>
        <w:numPr>
          <w:ilvl w:val="0"/>
          <w:numId w:val="2"/>
        </w:numPr>
        <w:spacing w:before="40" w:after="40"/>
      </w:pPr>
      <w:r>
        <w:rPr>
          <w:rFonts w:ascii="Arial" w:cs="Arial" w:eastAsia="Arial" w:hAnsi="Arial"/>
          <w:b/>
          <w:bCs/>
          <w:color w:val="1B3F8B"/>
          <w:sz w:val="20"/>
          <w:szCs w:val="20"/>
        </w:rPr>
        <w:t xml:space="preserve">Dashboard 3 — </w:t>
      </w:r>
      <w:r>
        <w:rPr>
          <w:rFonts w:ascii="Arial" w:cs="Arial" w:eastAsia="Arial" w:hAnsi="Arial"/>
          <w:color w:val="1A1A2E"/>
          <w:sz w:val="20"/>
          <w:szCs w:val="20"/>
        </w:rPr>
        <w:t xml:space="preserve">SKU Rationalization Dashboard: ABC-XYZ quadrant chart with financial impact quantification; click-to-action rationalization workflow</w:t>
      </w:r>
    </w:p>
    <w:p>
      <w:pPr>
        <w:pStyle w:val="ListParagraph"/>
        <w:numPr>
          <w:ilvl w:val="0"/>
          <w:numId w:val="2"/>
        </w:numPr>
        <w:spacing w:before="40" w:after="40"/>
      </w:pPr>
      <w:r>
        <w:rPr>
          <w:rFonts w:ascii="Arial" w:cs="Arial" w:eastAsia="Arial" w:hAnsi="Arial"/>
          <w:b/>
          <w:bCs/>
          <w:color w:val="1B3F8B"/>
          <w:sz w:val="20"/>
          <w:szCs w:val="20"/>
        </w:rPr>
        <w:t xml:space="preserve">Dashboard 4 — </w:t>
      </w:r>
      <w:r>
        <w:rPr>
          <w:rFonts w:ascii="Arial" w:cs="Arial" w:eastAsia="Arial" w:hAnsi="Arial"/>
          <w:color w:val="1A1A2E"/>
          <w:sz w:val="20"/>
          <w:szCs w:val="20"/>
        </w:rPr>
        <w:t xml:space="preserve">Forecast Accuracy Scorecard: MAPE, MAE, Bias trend lines by model, SKU class, and time period; flags models needing recalibration</w:t>
      </w:r>
    </w:p>
    <w:p>
      <w:pPr>
        <w:pStyle w:val="ListParagraph"/>
        <w:numPr>
          <w:ilvl w:val="0"/>
          <w:numId w:val="2"/>
        </w:numPr>
        <w:spacing w:before="40" w:after="40"/>
      </w:pPr>
      <w:r>
        <w:rPr>
          <w:rFonts w:ascii="Arial" w:cs="Arial" w:eastAsia="Arial" w:hAnsi="Arial"/>
          <w:b/>
          <w:bCs/>
          <w:color w:val="1B3F8B"/>
          <w:sz w:val="20"/>
          <w:szCs w:val="20"/>
        </w:rPr>
        <w:t xml:space="preserve">Dashboard 5 — </w:t>
      </w:r>
      <w:r>
        <w:rPr>
          <w:rFonts w:ascii="Arial" w:cs="Arial" w:eastAsia="Arial" w:hAnsi="Arial"/>
          <w:color w:val="1A1A2E"/>
          <w:sz w:val="20"/>
          <w:szCs w:val="20"/>
        </w:rPr>
        <w:t xml:space="preserve">Executive KPI Summary: Single-page leadership view — 8 headline KPIs with RAG (Red/Amber/Green) status and MoM trend arrows</w:t>
      </w:r>
    </w:p>
    <w:p>
      <w:pPr>
        <w:spacing w:before="0" w:after="80"/>
      </w:pPr>
      <w:r>
        <w:t xml:space="preserve"/>
      </w:r>
    </w:p>
    <w:p>
      <w:pPr>
        <w:pStyle w:val="Heading2"/>
        <w:spacing w:before="260" w:after="120"/>
      </w:pPr>
      <w:r>
        <w:rPr>
          <w:rFonts w:ascii="Arial" w:cs="Arial" w:eastAsia="Arial" w:hAnsi="Arial"/>
          <w:b/>
          <w:bCs/>
          <w:color w:val="0E7C7B"/>
          <w:sz w:val="24"/>
          <w:szCs w:val="24"/>
        </w:rPr>
        <w:t xml:space="preserve">6.2 Automated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Report</w:t>
            </w:r>
          </w:p>
        </w:tc>
        <w:tc>
          <w:tcPr>
            <w:tcW w:type="dxa" w:w="24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Frequency</w:t>
            </w:r>
          </w:p>
        </w:tc>
        <w:tc>
          <w:tcPr>
            <w:tcW w:type="dxa" w:w="276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Audience</w:t>
            </w:r>
          </w:p>
        </w:tc>
        <w:tc>
          <w:tcPr>
            <w:tcW w:type="dxa" w:w="24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Delivery</w:t>
            </w:r>
          </w:p>
        </w:tc>
      </w:tr>
      <w:tr>
        <w:tc>
          <w:tcPr>
            <w:tcW w:type="dxa" w:w="18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Demand Forecast Pack</w:t>
            </w:r>
          </w:p>
        </w:tc>
        <w:tc>
          <w:tcPr>
            <w:tcW w:type="dxa" w:w="2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Monthly</w:t>
            </w:r>
          </w:p>
        </w:tc>
        <w:tc>
          <w:tcPr>
            <w:tcW w:type="dxa" w:w="27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Supply Planners, Operations</w:t>
            </w:r>
          </w:p>
        </w:tc>
        <w:tc>
          <w:tcPr>
            <w:tcW w:type="dxa" w:w="2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Power BI + PDF via email</w:t>
            </w:r>
          </w:p>
        </w:tc>
      </w:tr>
      <w:tr>
        <w:tc>
          <w:tcPr>
            <w:tcW w:type="dxa" w:w="18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Inventory Health Report</w:t>
            </w:r>
          </w:p>
        </w:tc>
        <w:tc>
          <w:tcPr>
            <w:tcW w:type="dxa" w:w="2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Monthly</w:t>
            </w:r>
          </w:p>
        </w:tc>
        <w:tc>
          <w:tcPr>
            <w:tcW w:type="dxa" w:w="27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Warehouse &amp; Logistics Mgrs</w:t>
            </w:r>
          </w:p>
        </w:tc>
        <w:tc>
          <w:tcPr>
            <w:tcW w:type="dxa" w:w="2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Power BI live link</w:t>
            </w:r>
          </w:p>
        </w:tc>
      </w:tr>
      <w:tr>
        <w:tc>
          <w:tcPr>
            <w:tcW w:type="dxa" w:w="18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QBR Forecast Review</w:t>
            </w:r>
          </w:p>
        </w:tc>
        <w:tc>
          <w:tcPr>
            <w:tcW w:type="dxa" w:w="2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Quarterly</w:t>
            </w:r>
          </w:p>
        </w:tc>
        <w:tc>
          <w:tcPr>
            <w:tcW w:type="dxa" w:w="27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VP Supply Chain, Finance</w:t>
            </w:r>
          </w:p>
        </w:tc>
        <w:tc>
          <w:tcPr>
            <w:tcW w:type="dxa" w:w="2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Slide deck + Snowflake data export</w:t>
            </w:r>
          </w:p>
        </w:tc>
      </w:tr>
      <w:tr>
        <w:tc>
          <w:tcPr>
            <w:tcW w:type="dxa" w:w="18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SKU Rationalization Report</w:t>
            </w:r>
          </w:p>
        </w:tc>
        <w:tc>
          <w:tcPr>
            <w:tcW w:type="dxa" w:w="2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Quarterly</w:t>
            </w:r>
          </w:p>
        </w:tc>
        <w:tc>
          <w:tcPr>
            <w:tcW w:type="dxa" w:w="27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Category Managers, Procurement</w:t>
            </w:r>
          </w:p>
        </w:tc>
        <w:tc>
          <w:tcPr>
            <w:tcW w:type="dxa" w:w="2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PDF report + Excel action list</w:t>
            </w:r>
          </w:p>
        </w:tc>
      </w:tr>
      <w:tr>
        <w:tc>
          <w:tcPr>
            <w:tcW w:type="dxa" w:w="18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Executive KPI Dashboard</w:t>
            </w:r>
          </w:p>
        </w:tc>
        <w:tc>
          <w:tcPr>
            <w:tcW w:type="dxa" w:w="2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Weekly</w:t>
            </w:r>
          </w:p>
        </w:tc>
        <w:tc>
          <w:tcPr>
            <w:tcW w:type="dxa" w:w="27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C-Suite, BU Heads</w:t>
            </w:r>
          </w:p>
        </w:tc>
        <w:tc>
          <w:tcPr>
            <w:tcW w:type="dxa" w:w="2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Power BI embedded + email snapshot</w:t>
            </w:r>
          </w:p>
        </w:tc>
      </w:tr>
      <w:tr>
        <w:tc>
          <w:tcPr>
            <w:tcW w:type="dxa" w:w="18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Anomaly / Alert Notifications</w:t>
            </w:r>
          </w:p>
        </w:tc>
        <w:tc>
          <w:tcPr>
            <w:tcW w:type="dxa" w:w="2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Real-time</w:t>
            </w:r>
          </w:p>
        </w:tc>
        <w:tc>
          <w:tcPr>
            <w:tcW w:type="dxa" w:w="27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Operations Team</w:t>
            </w:r>
          </w:p>
        </w:tc>
        <w:tc>
          <w:tcPr>
            <w:tcW w:type="dxa" w:w="2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Automated Power BI alert + email</w:t>
            </w:r>
          </w:p>
        </w:tc>
      </w:tr>
    </w:tbl>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7. Project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Phase</w:t>
            </w:r>
          </w:p>
        </w:tc>
        <w:tc>
          <w:tcPr>
            <w:tcW w:type="dxa" w:w="22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Duration</w:t>
            </w:r>
          </w:p>
        </w:tc>
        <w:tc>
          <w:tcPr>
            <w:tcW w:type="dxa" w:w="356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Activities</w:t>
            </w:r>
          </w:p>
        </w:tc>
        <w:tc>
          <w:tcPr>
            <w:tcW w:type="dxa" w:w="2200"/>
            <w:tcBorders>
              <w:top w:val="single" w:color="C5CDE0" w:sz="1"/>
              <w:left w:val="single" w:color="C5CDE0" w:sz="1"/>
              <w:bottom w:val="single" w:color="C5CDE0" w:sz="1"/>
              <w:right w:val="single" w:color="C5CDE0" w:sz="1"/>
            </w:tcBorders>
            <w:shd w:fill="1B3F8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Deliverables</w:t>
            </w:r>
          </w:p>
        </w:tc>
      </w:tr>
      <w:tr>
        <w:tc>
          <w:tcPr>
            <w:tcW w:type="dxa" w:w="1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Phase 1</w:t>
            </w:r>
          </w:p>
        </w:tc>
        <w:tc>
          <w:tcPr>
            <w:tcW w:type="dxa" w:w="22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Weeks 1–3</w:t>
            </w:r>
          </w:p>
        </w:tc>
        <w:tc>
          <w:tcPr>
            <w:tcW w:type="dxa" w:w="35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Data discovery, source system mapping, Snowflake env setup, schema design, ADF pipeline config</w:t>
            </w:r>
          </w:p>
        </w:tc>
        <w:tc>
          <w:tcPr>
            <w:tcW w:type="dxa" w:w="22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Data Model Doc, Pipeline Architecture</w:t>
            </w:r>
          </w:p>
        </w:tc>
      </w:tr>
      <w:tr>
        <w:tc>
          <w:tcPr>
            <w:tcW w:type="dxa" w:w="1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2</w:t>
            </w:r>
          </w:p>
        </w:tc>
        <w:tc>
          <w:tcPr>
            <w:tcW w:type="dxa" w:w="22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4–6</w:t>
            </w:r>
          </w:p>
        </w:tc>
        <w:tc>
          <w:tcPr>
            <w:tcW w:type="dxa" w:w="35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ETL development, data cleaning, dimension table builds, RAW→STAGING→CURATED transformation logic</w:t>
            </w:r>
          </w:p>
        </w:tc>
        <w:tc>
          <w:tcPr>
            <w:tcW w:type="dxa" w:w="22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Snowflake DB (all 3 layers), dbt models</w:t>
            </w:r>
          </w:p>
        </w:tc>
      </w:tr>
      <w:tr>
        <w:tc>
          <w:tcPr>
            <w:tcW w:type="dxa" w:w="1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Phase 3</w:t>
            </w:r>
          </w:p>
        </w:tc>
        <w:tc>
          <w:tcPr>
            <w:tcW w:type="dxa" w:w="22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Weeks 7–9</w:t>
            </w:r>
          </w:p>
        </w:tc>
        <w:tc>
          <w:tcPr>
            <w:tcW w:type="dxa" w:w="35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Forecasting model development (Python), Snowflake integration, accuracy metric computation, backtesting</w:t>
            </w:r>
          </w:p>
        </w:tc>
        <w:tc>
          <w:tcPr>
            <w:tcW w:type="dxa" w:w="22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Forecasting Engine, MAPE Scorecard</w:t>
            </w:r>
          </w:p>
        </w:tc>
      </w:tr>
      <w:tr>
        <w:tc>
          <w:tcPr>
            <w:tcW w:type="dxa" w:w="1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4</w:t>
            </w:r>
          </w:p>
        </w:tc>
        <w:tc>
          <w:tcPr>
            <w:tcW w:type="dxa" w:w="22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10–11</w:t>
            </w:r>
          </w:p>
        </w:tc>
        <w:tc>
          <w:tcPr>
            <w:tcW w:type="dxa" w:w="35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ABC-XYZ classification SQL, safety stock engine, reorder point logic, inventory KPI computation</w:t>
            </w:r>
          </w:p>
        </w:tc>
        <w:tc>
          <w:tcPr>
            <w:tcW w:type="dxa" w:w="22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SKU Classification Report, Inventory Optimizer</w:t>
            </w:r>
          </w:p>
        </w:tc>
      </w:tr>
      <w:tr>
        <w:tc>
          <w:tcPr>
            <w:tcW w:type="dxa" w:w="14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Phase 5</w:t>
            </w:r>
          </w:p>
        </w:tc>
        <w:tc>
          <w:tcPr>
            <w:tcW w:type="dxa" w:w="22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Weeks 12–14</w:t>
            </w:r>
          </w:p>
        </w:tc>
        <w:tc>
          <w:tcPr>
            <w:tcW w:type="dxa" w:w="356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Power BI dashboard development, Snowflake live connector, report automation, stakeholder testing</w:t>
            </w:r>
          </w:p>
        </w:tc>
        <w:tc>
          <w:tcPr>
            <w:tcW w:type="dxa" w:w="2200"/>
            <w:tcBorders>
              <w:top w:val="single" w:color="C5CDE0" w:sz="1"/>
              <w:left w:val="single" w:color="C5CDE0" w:sz="1"/>
              <w:bottom w:val="single" w:color="C5CDE0" w:sz="1"/>
              <w:right w:val="single" w:color="C5CDE0" w:sz="1"/>
            </w:tcBorders>
            <w:shd w:fill="E8EEF8" w:val="clear"/>
            <w:tcMar>
              <w:top w:type="dxa" w:w="80"/>
              <w:left w:type="dxa" w:w="120"/>
              <w:bottom w:type="dxa" w:w="80"/>
              <w:right w:type="dxa" w:w="120"/>
            </w:tcMar>
          </w:tcPr>
          <w:p>
            <w:r>
              <w:rPr>
                <w:rFonts w:ascii="Arial" w:cs="Arial" w:eastAsia="Arial" w:hAnsi="Arial"/>
                <w:color w:val="1A1A2E"/>
                <w:sz w:val="18"/>
                <w:szCs w:val="18"/>
              </w:rPr>
              <w:t xml:space="preserve">5 Power BI Dashboards, Automated Reports</w:t>
            </w:r>
          </w:p>
        </w:tc>
      </w:tr>
      <w:tr>
        <w:tc>
          <w:tcPr>
            <w:tcW w:type="dxa" w:w="14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6</w:t>
            </w:r>
          </w:p>
        </w:tc>
        <w:tc>
          <w:tcPr>
            <w:tcW w:type="dxa" w:w="22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15–16</w:t>
            </w:r>
          </w:p>
        </w:tc>
        <w:tc>
          <w:tcPr>
            <w:tcW w:type="dxa" w:w="356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Documentation, project portfolio writeup, mock stakeholder presentation, GitHub repository</w:t>
            </w:r>
          </w:p>
        </w:tc>
        <w:tc>
          <w:tcPr>
            <w:tcW w:type="dxa" w:w="2200"/>
            <w:tcBorders>
              <w:top w:val="single" w:color="C5CDE0" w:sz="1"/>
              <w:left w:val="single" w:color="C5CDE0" w:sz="1"/>
              <w:bottom w:val="single" w:color="C5CDE0" w:sz="1"/>
              <w:right w:val="single" w:color="C5CDE0"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Final Deliverables, Portfolio Package</w:t>
            </w:r>
          </w:p>
        </w:tc>
      </w:tr>
    </w:tbl>
    <w:p>
      <w:pPr>
        <w:spacing w:before="0" w:after="80"/>
      </w:pPr>
      <w:r>
        <w:t xml:space="preserve"/>
      </w:r>
    </w:p>
    <w:p>
      <w:r>
        <w:br w:type="page"/>
      </w:r>
    </w:p>
    <w:p>
      <w:pPr>
        <w:pStyle w:val="Heading1"/>
        <w:pBdr>
          <w:bottom w:val="single" w:color="1B3F8B" w:sz="3" w:space="6"/>
        </w:pBdr>
        <w:spacing w:before="340" w:after="160"/>
      </w:pPr>
      <w:r>
        <w:rPr>
          <w:rFonts w:ascii="Arial" w:cs="Arial" w:eastAsia="Arial" w:hAnsi="Arial"/>
          <w:b/>
          <w:bCs/>
          <w:color w:val="1B3F8B"/>
          <w:sz w:val="30"/>
          <w:szCs w:val="30"/>
        </w:rPr>
        <w:t xml:space="preserve">8. Expected Business Impact &amp; KPI Targets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r>
              <w:rPr>
                <w:rFonts w:ascii="Arial" w:cs="Arial" w:eastAsia="Arial" w:hAnsi="Arial"/>
                <w:b/>
                <w:bCs/>
                <w:color w:val="FFFFFF"/>
                <w:sz w:val="18"/>
                <w:szCs w:val="18"/>
              </w:rPr>
              <w:t xml:space="preserve">Business KPI</w:t>
            </w:r>
          </w:p>
        </w:tc>
        <w:tc>
          <w:tcPr>
            <w:tcW w:type="dxa" w:w="298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Baseline (Before)</w:t>
            </w:r>
          </w:p>
        </w:tc>
        <w:tc>
          <w:tcPr>
            <w:tcW w:type="dxa" w:w="298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Target (After)</w:t>
            </w:r>
          </w:p>
        </w:tc>
      </w:tr>
      <w:tr>
        <w:tc>
          <w:tcPr>
            <w:tcW w:type="dxa" w:w="34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Forecast MAPE (A-class SKUs)</w:t>
            </w:r>
          </w:p>
        </w:tc>
        <w:tc>
          <w:tcPr>
            <w:tcW w:type="dxa" w:w="298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pPr>
              <w:jc w:val="center"/>
            </w:pPr>
            <w:r>
              <w:rPr>
                <w:rFonts w:ascii="Arial" w:cs="Arial" w:eastAsia="Arial" w:hAnsi="Arial"/>
                <w:color w:val="5A6272"/>
                <w:sz w:val="18"/>
                <w:szCs w:val="18"/>
              </w:rPr>
              <w:t xml:space="preserve">~28%</w:t>
            </w:r>
          </w:p>
        </w:tc>
        <w:tc>
          <w:tcPr>
            <w:tcW w:type="dxa" w:w="298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&lt; 15%  (46% improvement)</w:t>
            </w:r>
          </w:p>
        </w:tc>
      </w:tr>
      <w:tr>
        <w:tc>
          <w:tcPr>
            <w:tcW w:type="dxa" w:w="34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Stockout Incidents per Quarter</w:t>
            </w:r>
          </w:p>
        </w:tc>
        <w:tc>
          <w:tcPr>
            <w:tcW w:type="dxa" w:w="298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pPr>
              <w:jc w:val="center"/>
            </w:pPr>
            <w:r>
              <w:rPr>
                <w:rFonts w:ascii="Arial" w:cs="Arial" w:eastAsia="Arial" w:hAnsi="Arial"/>
                <w:color w:val="5A6272"/>
                <w:sz w:val="18"/>
                <w:szCs w:val="18"/>
              </w:rPr>
              <w:t xml:space="preserve">~340 incidents</w:t>
            </w:r>
          </w:p>
        </w:tc>
        <w:tc>
          <w:tcPr>
            <w:tcW w:type="dxa" w:w="298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&lt; 120 incidents  (65% reduction)</w:t>
            </w:r>
          </w:p>
        </w:tc>
      </w:tr>
      <w:tr>
        <w:tc>
          <w:tcPr>
            <w:tcW w:type="dxa" w:w="34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Inventory Carrying Cost</w:t>
            </w:r>
          </w:p>
        </w:tc>
        <w:tc>
          <w:tcPr>
            <w:tcW w:type="dxa" w:w="298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pPr>
              <w:jc w:val="center"/>
            </w:pPr>
            <w:r>
              <w:rPr>
                <w:rFonts w:ascii="Arial" w:cs="Arial" w:eastAsia="Arial" w:hAnsi="Arial"/>
                <w:color w:val="5A6272"/>
                <w:sz w:val="18"/>
                <w:szCs w:val="18"/>
              </w:rPr>
              <w:t xml:space="preserve">Baseline index 100</w:t>
            </w:r>
          </w:p>
        </w:tc>
        <w:tc>
          <w:tcPr>
            <w:tcW w:type="dxa" w:w="298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~78  (~22% reduction)</w:t>
            </w:r>
          </w:p>
        </w:tc>
      </w:tr>
      <w:tr>
        <w:tc>
          <w:tcPr>
            <w:tcW w:type="dxa" w:w="34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SKU Count (after rationalization)</w:t>
            </w:r>
          </w:p>
        </w:tc>
        <w:tc>
          <w:tcPr>
            <w:tcW w:type="dxa" w:w="298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pPr>
              <w:jc w:val="center"/>
            </w:pPr>
            <w:r>
              <w:rPr>
                <w:rFonts w:ascii="Arial" w:cs="Arial" w:eastAsia="Arial" w:hAnsi="Arial"/>
                <w:color w:val="5A6272"/>
                <w:sz w:val="18"/>
                <w:szCs w:val="18"/>
              </w:rPr>
              <w:t xml:space="preserve">50,000 active SKUs</w:t>
            </w:r>
          </w:p>
        </w:tc>
        <w:tc>
          <w:tcPr>
            <w:tcW w:type="dxa" w:w="298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~41,500 SKUs  (17% reduction)</w:t>
            </w:r>
          </w:p>
        </w:tc>
      </w:tr>
      <w:tr>
        <w:tc>
          <w:tcPr>
            <w:tcW w:type="dxa" w:w="34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Excess &amp; Obsolescence Value</w:t>
            </w:r>
          </w:p>
        </w:tc>
        <w:tc>
          <w:tcPr>
            <w:tcW w:type="dxa" w:w="298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pPr>
              <w:jc w:val="center"/>
            </w:pPr>
            <w:r>
              <w:rPr>
                <w:rFonts w:ascii="Arial" w:cs="Arial" w:eastAsia="Arial" w:hAnsi="Arial"/>
                <w:color w:val="5A6272"/>
                <w:sz w:val="18"/>
                <w:szCs w:val="18"/>
              </w:rPr>
              <w:t xml:space="preserve">$4.2M quarterly</w:t>
            </w:r>
          </w:p>
        </w:tc>
        <w:tc>
          <w:tcPr>
            <w:tcW w:type="dxa" w:w="298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&lt; $2.8M  (~33% reduction)</w:t>
            </w:r>
          </w:p>
        </w:tc>
      </w:tr>
      <w:tr>
        <w:tc>
          <w:tcPr>
            <w:tcW w:type="dxa" w:w="34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Fill Rate (A-class parts)</w:t>
            </w:r>
          </w:p>
        </w:tc>
        <w:tc>
          <w:tcPr>
            <w:tcW w:type="dxa" w:w="298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pPr>
              <w:jc w:val="center"/>
            </w:pPr>
            <w:r>
              <w:rPr>
                <w:rFonts w:ascii="Arial" w:cs="Arial" w:eastAsia="Arial" w:hAnsi="Arial"/>
                <w:color w:val="5A6272"/>
                <w:sz w:val="18"/>
                <w:szCs w:val="18"/>
              </w:rPr>
              <w:t xml:space="preserve">~88%</w:t>
            </w:r>
          </w:p>
        </w:tc>
        <w:tc>
          <w:tcPr>
            <w:tcW w:type="dxa" w:w="298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&gt; 96%  (+8 ppt improvement)</w:t>
            </w:r>
          </w:p>
        </w:tc>
      </w:tr>
      <w:tr>
        <w:tc>
          <w:tcPr>
            <w:tcW w:type="dxa" w:w="340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r>
              <w:rPr>
                <w:rFonts w:ascii="Arial" w:cs="Arial" w:eastAsia="Arial" w:hAnsi="Arial"/>
                <w:color w:val="1A1A2E"/>
                <w:sz w:val="18"/>
                <w:szCs w:val="18"/>
              </w:rPr>
              <w:t xml:space="preserve">Reporting Cycle Time</w:t>
            </w:r>
          </w:p>
        </w:tc>
        <w:tc>
          <w:tcPr>
            <w:tcW w:type="dxa" w:w="2980"/>
            <w:tcBorders>
              <w:top w:val="single" w:color="C5CDE0" w:sz="1"/>
              <w:left w:val="single" w:color="C5CDE0" w:sz="1"/>
              <w:bottom w:val="single" w:color="C5CDE0" w:sz="1"/>
              <w:right w:val="single" w:color="C5CDE0" w:sz="1"/>
            </w:tcBorders>
            <w:shd w:fill="E8EEF8" w:val="clear"/>
            <w:tcMar>
              <w:top w:type="dxa" w:w="80"/>
              <w:left w:type="dxa" w:w="140"/>
              <w:bottom w:type="dxa" w:w="80"/>
              <w:right w:type="dxa" w:w="140"/>
            </w:tcMar>
          </w:tcPr>
          <w:p>
            <w:pPr>
              <w:jc w:val="center"/>
            </w:pPr>
            <w:r>
              <w:rPr>
                <w:rFonts w:ascii="Arial" w:cs="Arial" w:eastAsia="Arial" w:hAnsi="Arial"/>
                <w:color w:val="5A6272"/>
                <w:sz w:val="18"/>
                <w:szCs w:val="18"/>
              </w:rPr>
              <w:t xml:space="preserve">5–7 business days manual</w:t>
            </w:r>
          </w:p>
        </w:tc>
        <w:tc>
          <w:tcPr>
            <w:tcW w:type="dxa" w:w="298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Automated T+1 delivery</w:t>
            </w:r>
          </w:p>
        </w:tc>
      </w:tr>
      <w:tr>
        <w:tc>
          <w:tcPr>
            <w:tcW w:type="dxa" w:w="34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Analyst Time on Reporting</w:t>
            </w:r>
          </w:p>
        </w:tc>
        <w:tc>
          <w:tcPr>
            <w:tcW w:type="dxa" w:w="298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pPr>
              <w:jc w:val="center"/>
            </w:pPr>
            <w:r>
              <w:rPr>
                <w:rFonts w:ascii="Arial" w:cs="Arial" w:eastAsia="Arial" w:hAnsi="Arial"/>
                <w:color w:val="5A6272"/>
                <w:sz w:val="18"/>
                <w:szCs w:val="18"/>
              </w:rPr>
              <w:t xml:space="preserve">~60% of work week</w:t>
            </w:r>
          </w:p>
        </w:tc>
        <w:tc>
          <w:tcPr>
            <w:tcW w:type="dxa" w:w="298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pPr>
              <w:jc w:val="center"/>
            </w:pPr>
            <w:r>
              <w:rPr>
                <w:rFonts w:ascii="Arial" w:cs="Arial" w:eastAsia="Arial" w:hAnsi="Arial"/>
                <w:b/>
                <w:bCs/>
                <w:color w:val="0E7C7B"/>
                <w:sz w:val="18"/>
                <w:szCs w:val="18"/>
              </w:rPr>
              <w:t xml:space="preserve">~20%  (freed for analysis)</w:t>
            </w:r>
          </w:p>
        </w:tc>
      </w:tr>
    </w:tbl>
    <w:p>
      <w:pPr>
        <w:spacing w:before="0" w:after="160"/>
      </w:pPr>
      <w:r>
        <w:t xml:space="preserve"/>
      </w:r>
    </w:p>
    <w:p>
      <w:pPr>
        <w:pStyle w:val="Heading2"/>
        <w:spacing w:before="260" w:after="120"/>
      </w:pPr>
      <w:r>
        <w:rPr>
          <w:rFonts w:ascii="Arial" w:cs="Arial" w:eastAsia="Arial" w:hAnsi="Arial"/>
          <w:b/>
          <w:bCs/>
          <w:color w:val="0E7C7B"/>
          <w:sz w:val="24"/>
          <w:szCs w:val="24"/>
        </w:rPr>
        <w:t xml:space="preserve">JD Alignment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r>
              <w:rPr>
                <w:rFonts w:ascii="Arial" w:cs="Arial" w:eastAsia="Arial" w:hAnsi="Arial"/>
                <w:b/>
                <w:bCs/>
                <w:color w:val="FFFFFF"/>
                <w:sz w:val="18"/>
                <w:szCs w:val="18"/>
              </w:rPr>
              <w:t xml:space="preserve">Genpact JD Requirement</w:t>
            </w:r>
          </w:p>
        </w:tc>
        <w:tc>
          <w:tcPr>
            <w:tcW w:type="dxa" w:w="4360"/>
            <w:tcBorders>
              <w:top w:val="single" w:color="C5CDE0" w:sz="1"/>
              <w:left w:val="single" w:color="C5CDE0" w:sz="1"/>
              <w:bottom w:val="single" w:color="C5CDE0" w:sz="1"/>
              <w:right w:val="single" w:color="C5CDE0" w:sz="1"/>
            </w:tcBorders>
            <w:shd w:fill="1B3F8B" w:val="clear"/>
            <w:tcMar>
              <w:top w:type="dxa" w:w="100"/>
              <w:left w:type="dxa" w:w="140"/>
              <w:bottom w:type="dxa" w:w="100"/>
              <w:right w:type="dxa" w:w="140"/>
            </w:tcMar>
          </w:tcPr>
          <w:p>
            <w:r>
              <w:rPr>
                <w:rFonts w:ascii="Arial" w:cs="Arial" w:eastAsia="Arial" w:hAnsi="Arial"/>
                <w:b/>
                <w:bCs/>
                <w:color w:val="FFFFFF"/>
                <w:sz w:val="18"/>
                <w:szCs w:val="18"/>
              </w:rPr>
              <w:t xml:space="preserve">Project Coverage</w:t>
            </w:r>
          </w:p>
        </w:tc>
      </w:tr>
      <w:tr>
        <w:tc>
          <w:tcPr>
            <w:tcW w:type="dxa" w:w="5000"/>
            <w:tcBorders>
              <w:top w:val="single" w:color="C5CDE0" w:sz="1"/>
              <w:left w:val="single" w:color="C5CDE0" w:sz="1"/>
              <w:bottom w:val="single" w:color="C5CDE0" w:sz="1"/>
              <w:right w:val="single" w:color="C5CDE0" w:sz="1"/>
            </w:tcBorders>
            <w:shd w:fill="F4F5F7" w:val="clear"/>
            <w:tcMar>
              <w:top w:type="dxa" w:w="80"/>
              <w:left w:type="dxa" w:w="140"/>
              <w:bottom w:type="dxa" w:w="80"/>
              <w:right w:type="dxa" w:w="140"/>
            </w:tcMar>
          </w:tcPr>
          <w:p>
            <w:r>
              <w:rPr>
                <w:rFonts w:ascii="Arial" w:cs="Arial" w:eastAsia="Arial" w:hAnsi="Arial"/>
                <w:color w:val="1A1A2E"/>
                <w:sz w:val="18"/>
                <w:szCs w:val="18"/>
              </w:rPr>
              <w:t xml:space="preserve">Monthly &amp; quarterly statistical forecasting</w:t>
            </w:r>
          </w:p>
        </w:tc>
        <w:tc>
          <w:tcPr>
            <w:tcW w:type="dxa" w:w="436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r>
              <w:rPr>
                <w:rFonts w:ascii="Arial" w:cs="Arial" w:eastAsia="Arial" w:hAnsi="Arial"/>
                <w:color w:val="0E7C7B"/>
                <w:sz w:val="18"/>
                <w:szCs w:val="18"/>
              </w:rPr>
              <w:t xml:space="preserve">✅ 5 forecasting models, automated cadence, 18-month horizon</w:t>
            </w:r>
          </w:p>
        </w:tc>
      </w:tr>
      <w:tr>
        <w:tc>
          <w:tcPr>
            <w:tcW w:type="dxa" w:w="5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Improving forecasting techniques &amp; accuracy</w:t>
            </w:r>
          </w:p>
        </w:tc>
        <w:tc>
          <w:tcPr>
            <w:tcW w:type="dxa" w:w="436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r>
              <w:rPr>
                <w:rFonts w:ascii="Arial" w:cs="Arial" w:eastAsia="Arial" w:hAnsi="Arial"/>
                <w:color w:val="0E7C7B"/>
                <w:sz w:val="18"/>
                <w:szCs w:val="18"/>
              </w:rPr>
              <w:t xml:space="preserve">✅ Auto model selection, FVA tracking, MAPE improvement target 46%</w:t>
            </w:r>
          </w:p>
        </w:tc>
      </w:tr>
      <w:tr>
        <w:tc>
          <w:tcPr>
            <w:tcW w:type="dxa" w:w="5000"/>
            <w:tcBorders>
              <w:top w:val="single" w:color="C5CDE0" w:sz="1"/>
              <w:left w:val="single" w:color="C5CDE0" w:sz="1"/>
              <w:bottom w:val="single" w:color="C5CDE0" w:sz="1"/>
              <w:right w:val="single" w:color="C5CDE0" w:sz="1"/>
            </w:tcBorders>
            <w:shd w:fill="F4F5F7" w:val="clear"/>
            <w:tcMar>
              <w:top w:type="dxa" w:w="80"/>
              <w:left w:type="dxa" w:w="140"/>
              <w:bottom w:type="dxa" w:w="80"/>
              <w:right w:type="dxa" w:w="140"/>
            </w:tcMar>
          </w:tcPr>
          <w:p>
            <w:r>
              <w:rPr>
                <w:rFonts w:ascii="Arial" w:cs="Arial" w:eastAsia="Arial" w:hAnsi="Arial"/>
                <w:color w:val="1A1A2E"/>
                <w:sz w:val="18"/>
                <w:szCs w:val="18"/>
              </w:rPr>
              <w:t xml:space="preserve">Forecast accuracy measurement &amp; impact</w:t>
            </w:r>
          </w:p>
        </w:tc>
        <w:tc>
          <w:tcPr>
            <w:tcW w:type="dxa" w:w="436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r>
              <w:rPr>
                <w:rFonts w:ascii="Arial" w:cs="Arial" w:eastAsia="Arial" w:hAnsi="Arial"/>
                <w:color w:val="0E7C7B"/>
                <w:sz w:val="18"/>
                <w:szCs w:val="18"/>
              </w:rPr>
              <w:t xml:space="preserve">✅ MAPE, MAE, RMSE, Bias tracking — full accuracy KPI framework</w:t>
            </w:r>
          </w:p>
        </w:tc>
      </w:tr>
      <w:tr>
        <w:tc>
          <w:tcPr>
            <w:tcW w:type="dxa" w:w="5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Monitor SKU levels &amp; SKU rationalization</w:t>
            </w:r>
          </w:p>
        </w:tc>
        <w:tc>
          <w:tcPr>
            <w:tcW w:type="dxa" w:w="436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r>
              <w:rPr>
                <w:rFonts w:ascii="Arial" w:cs="Arial" w:eastAsia="Arial" w:hAnsi="Arial"/>
                <w:color w:val="0E7C7B"/>
                <w:sz w:val="18"/>
                <w:szCs w:val="18"/>
              </w:rPr>
              <w:t xml:space="preserve">✅ ABC-XYZ classification, 17% SKU reduction initiative</w:t>
            </w:r>
          </w:p>
        </w:tc>
      </w:tr>
      <w:tr>
        <w:tc>
          <w:tcPr>
            <w:tcW w:type="dxa" w:w="5000"/>
            <w:tcBorders>
              <w:top w:val="single" w:color="C5CDE0" w:sz="1"/>
              <w:left w:val="single" w:color="C5CDE0" w:sz="1"/>
              <w:bottom w:val="single" w:color="C5CDE0" w:sz="1"/>
              <w:right w:val="single" w:color="C5CDE0" w:sz="1"/>
            </w:tcBorders>
            <w:shd w:fill="F4F5F7" w:val="clear"/>
            <w:tcMar>
              <w:top w:type="dxa" w:w="80"/>
              <w:left w:type="dxa" w:w="140"/>
              <w:bottom w:type="dxa" w:w="80"/>
              <w:right w:type="dxa" w:w="140"/>
            </w:tcMar>
          </w:tcPr>
          <w:p>
            <w:r>
              <w:rPr>
                <w:rFonts w:ascii="Arial" w:cs="Arial" w:eastAsia="Arial" w:hAnsi="Arial"/>
                <w:color w:val="1A1A2E"/>
                <w:sz w:val="18"/>
                <w:szCs w:val="18"/>
              </w:rPr>
              <w:t xml:space="preserve">Analyze supply chain data &amp; performance metrics</w:t>
            </w:r>
          </w:p>
        </w:tc>
        <w:tc>
          <w:tcPr>
            <w:tcW w:type="dxa" w:w="436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r>
              <w:rPr>
                <w:rFonts w:ascii="Arial" w:cs="Arial" w:eastAsia="Arial" w:hAnsi="Arial"/>
                <w:color w:val="0E7C7B"/>
                <w:sz w:val="18"/>
                <w:szCs w:val="18"/>
              </w:rPr>
              <w:t xml:space="preserve">✅ 180M+ row Snowflake analysis, 8 KPI categories</w:t>
            </w:r>
          </w:p>
        </w:tc>
      </w:tr>
      <w:tr>
        <w:tc>
          <w:tcPr>
            <w:tcW w:type="dxa" w:w="5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Preparing final analysis reports for stakeholders</w:t>
            </w:r>
          </w:p>
        </w:tc>
        <w:tc>
          <w:tcPr>
            <w:tcW w:type="dxa" w:w="436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r>
              <w:rPr>
                <w:rFonts w:ascii="Arial" w:cs="Arial" w:eastAsia="Arial" w:hAnsi="Arial"/>
                <w:color w:val="0E7C7B"/>
                <w:sz w:val="18"/>
                <w:szCs w:val="18"/>
              </w:rPr>
              <w:t xml:space="preserve">✅ 5 Power BI dashboards + automated PDF reporting suite</w:t>
            </w:r>
          </w:p>
        </w:tc>
      </w:tr>
      <w:tr>
        <w:tc>
          <w:tcPr>
            <w:tcW w:type="dxa" w:w="5000"/>
            <w:tcBorders>
              <w:top w:val="single" w:color="C5CDE0" w:sz="1"/>
              <w:left w:val="single" w:color="C5CDE0" w:sz="1"/>
              <w:bottom w:val="single" w:color="C5CDE0" w:sz="1"/>
              <w:right w:val="single" w:color="C5CDE0" w:sz="1"/>
            </w:tcBorders>
            <w:shd w:fill="F4F5F7" w:val="clear"/>
            <w:tcMar>
              <w:top w:type="dxa" w:w="80"/>
              <w:left w:type="dxa" w:w="140"/>
              <w:bottom w:type="dxa" w:w="80"/>
              <w:right w:type="dxa" w:w="140"/>
            </w:tcMar>
          </w:tcPr>
          <w:p>
            <w:r>
              <w:rPr>
                <w:rFonts w:ascii="Arial" w:cs="Arial" w:eastAsia="Arial" w:hAnsi="Arial"/>
                <w:color w:val="1A1A2E"/>
                <w:sz w:val="18"/>
                <w:szCs w:val="18"/>
              </w:rPr>
              <w:t xml:space="preserve">Analyze local, national, global trends</w:t>
            </w:r>
          </w:p>
        </w:tc>
        <w:tc>
          <w:tcPr>
            <w:tcW w:type="dxa" w:w="436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r>
              <w:rPr>
                <w:rFonts w:ascii="Arial" w:cs="Arial" w:eastAsia="Arial" w:hAnsi="Arial"/>
                <w:color w:val="0E7C7B"/>
                <w:sz w:val="18"/>
                <w:szCs w:val="18"/>
              </w:rPr>
              <w:t xml:space="preserve">✅ External macro + weather data integrated via Snowpipe</w:t>
            </w:r>
          </w:p>
        </w:tc>
      </w:tr>
      <w:tr>
        <w:tc>
          <w:tcPr>
            <w:tcW w:type="dxa" w:w="5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Streamline processes, reduce costs, improve efficiency</w:t>
            </w:r>
          </w:p>
        </w:tc>
        <w:tc>
          <w:tcPr>
            <w:tcW w:type="dxa" w:w="436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r>
              <w:rPr>
                <w:rFonts w:ascii="Arial" w:cs="Arial" w:eastAsia="Arial" w:hAnsi="Arial"/>
                <w:color w:val="0E7C7B"/>
                <w:sz w:val="18"/>
                <w:szCs w:val="18"/>
              </w:rPr>
              <w:t xml:space="preserve">✅ 22% inventory cost reduction target, T+1 automated reporting</w:t>
            </w:r>
          </w:p>
        </w:tc>
      </w:tr>
      <w:tr>
        <w:tc>
          <w:tcPr>
            <w:tcW w:type="dxa" w:w="5000"/>
            <w:tcBorders>
              <w:top w:val="single" w:color="C5CDE0" w:sz="1"/>
              <w:left w:val="single" w:color="C5CDE0" w:sz="1"/>
              <w:bottom w:val="single" w:color="C5CDE0" w:sz="1"/>
              <w:right w:val="single" w:color="C5CDE0" w:sz="1"/>
            </w:tcBorders>
            <w:shd w:fill="F4F5F7" w:val="clear"/>
            <w:tcMar>
              <w:top w:type="dxa" w:w="80"/>
              <w:left w:type="dxa" w:w="140"/>
              <w:bottom w:type="dxa" w:w="80"/>
              <w:right w:type="dxa" w:w="140"/>
            </w:tcMar>
          </w:tcPr>
          <w:p>
            <w:r>
              <w:rPr>
                <w:rFonts w:ascii="Arial" w:cs="Arial" w:eastAsia="Arial" w:hAnsi="Arial"/>
                <w:color w:val="1A1A2E"/>
                <w:sz w:val="18"/>
                <w:szCs w:val="18"/>
              </w:rPr>
              <w:t xml:space="preserve">Support KPI targets &amp; operational excellence</w:t>
            </w:r>
          </w:p>
        </w:tc>
        <w:tc>
          <w:tcPr>
            <w:tcW w:type="dxa" w:w="436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r>
              <w:rPr>
                <w:rFonts w:ascii="Arial" w:cs="Arial" w:eastAsia="Arial" w:hAnsi="Arial"/>
                <w:color w:val="0E7C7B"/>
                <w:sz w:val="18"/>
                <w:szCs w:val="18"/>
              </w:rPr>
              <w:t xml:space="preserve">✅ Full KPI framework with RAG status and weekly executive view</w:t>
            </w:r>
          </w:p>
        </w:tc>
      </w:tr>
      <w:tr>
        <w:tc>
          <w:tcPr>
            <w:tcW w:type="dxa" w:w="5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SQL (preferred skill)</w:t>
            </w:r>
          </w:p>
        </w:tc>
        <w:tc>
          <w:tcPr>
            <w:tcW w:type="dxa" w:w="436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r>
              <w:rPr>
                <w:rFonts w:ascii="Arial" w:cs="Arial" w:eastAsia="Arial" w:hAnsi="Arial"/>
                <w:color w:val="0E7C7B"/>
                <w:sz w:val="18"/>
                <w:szCs w:val="18"/>
              </w:rPr>
              <w:t xml:space="preserve">✅ Snowflake SQL — advanced clustering, streams, materialized views</w:t>
            </w:r>
          </w:p>
        </w:tc>
      </w:tr>
      <w:tr>
        <w:tc>
          <w:tcPr>
            <w:tcW w:type="dxa" w:w="5000"/>
            <w:tcBorders>
              <w:top w:val="single" w:color="C5CDE0" w:sz="1"/>
              <w:left w:val="single" w:color="C5CDE0" w:sz="1"/>
              <w:bottom w:val="single" w:color="C5CDE0" w:sz="1"/>
              <w:right w:val="single" w:color="C5CDE0" w:sz="1"/>
            </w:tcBorders>
            <w:shd w:fill="F4F5F7" w:val="clear"/>
            <w:tcMar>
              <w:top w:type="dxa" w:w="80"/>
              <w:left w:type="dxa" w:w="140"/>
              <w:bottom w:type="dxa" w:w="80"/>
              <w:right w:type="dxa" w:w="140"/>
            </w:tcMar>
          </w:tcPr>
          <w:p>
            <w:r>
              <w:rPr>
                <w:rFonts w:ascii="Arial" w:cs="Arial" w:eastAsia="Arial" w:hAnsi="Arial"/>
                <w:color w:val="1A1A2E"/>
                <w:sz w:val="18"/>
                <w:szCs w:val="18"/>
              </w:rPr>
              <w:t xml:space="preserve">Power BI / Tableau (preferred skill)</w:t>
            </w:r>
          </w:p>
        </w:tc>
        <w:tc>
          <w:tcPr>
            <w:tcW w:type="dxa" w:w="4360"/>
            <w:tcBorders>
              <w:top w:val="single" w:color="C5CDE0" w:sz="1"/>
              <w:left w:val="single" w:color="C5CDE0" w:sz="1"/>
              <w:bottom w:val="single" w:color="C5CDE0" w:sz="1"/>
              <w:right w:val="single" w:color="C5CDE0" w:sz="1"/>
            </w:tcBorders>
            <w:shd w:fill="E6F4F4" w:val="clear"/>
            <w:tcMar>
              <w:top w:type="dxa" w:w="80"/>
              <w:left w:type="dxa" w:w="140"/>
              <w:bottom w:type="dxa" w:w="80"/>
              <w:right w:type="dxa" w:w="140"/>
            </w:tcMar>
          </w:tcPr>
          <w:p>
            <w:r>
              <w:rPr>
                <w:rFonts w:ascii="Arial" w:cs="Arial" w:eastAsia="Arial" w:hAnsi="Arial"/>
                <w:color w:val="0E7C7B"/>
                <w:sz w:val="18"/>
                <w:szCs w:val="18"/>
              </w:rPr>
              <w:t xml:space="preserve">✅ Power BI — live Snowflake connector, 5 dashboards</w:t>
            </w:r>
          </w:p>
        </w:tc>
      </w:tr>
      <w:tr>
        <w:tc>
          <w:tcPr>
            <w:tcW w:type="dxa" w:w="5000"/>
            <w:tcBorders>
              <w:top w:val="single" w:color="C5CDE0" w:sz="1"/>
              <w:left w:val="single" w:color="C5CDE0" w:sz="1"/>
              <w:bottom w:val="single" w:color="C5CDE0" w:sz="1"/>
              <w:right w:val="single" w:color="C5CDE0"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Supply chain visibility platform experience</w:t>
            </w:r>
          </w:p>
        </w:tc>
        <w:tc>
          <w:tcPr>
            <w:tcW w:type="dxa" w:w="4360"/>
            <w:tcBorders>
              <w:top w:val="single" w:color="C5CDE0" w:sz="1"/>
              <w:left w:val="single" w:color="C5CDE0" w:sz="1"/>
              <w:bottom w:val="single" w:color="C5CDE0" w:sz="1"/>
              <w:right w:val="single" w:color="C5CDE0" w:sz="1"/>
            </w:tcBorders>
            <w:shd w:fill="F0FAF0" w:val="clear"/>
            <w:tcMar>
              <w:top w:type="dxa" w:w="80"/>
              <w:left w:type="dxa" w:w="140"/>
              <w:bottom w:type="dxa" w:w="80"/>
              <w:right w:type="dxa" w:w="140"/>
            </w:tcMar>
          </w:tcPr>
          <w:p>
            <w:r>
              <w:rPr>
                <w:rFonts w:ascii="Arial" w:cs="Arial" w:eastAsia="Arial" w:hAnsi="Arial"/>
                <w:color w:val="0E7C7B"/>
                <w:sz w:val="18"/>
                <w:szCs w:val="18"/>
              </w:rPr>
              <w:t xml:space="preserve">✅ End-to-end platform architecture from ingestion to visualization</w:t>
            </w:r>
          </w:p>
        </w:tc>
      </w:tr>
    </w:tbl>
    <w:p>
      <w:pPr>
        <w:spacing w:before="0" w:after="1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F8B" w:sz="4" w:space="4"/>
      </w:pBdr>
      <w:tabs>
        <w:tab w:val="right" w:pos="9026"/>
      </w:tabs>
      <w:spacing w:before="80"/>
    </w:pPr>
    <w:r>
      <w:rPr>
        <w:rFonts w:ascii="Arial" w:cs="Arial" w:eastAsia="Arial" w:hAnsi="Arial"/>
        <w:color w:val="5A6272"/>
        <w:sz w:val="16"/>
        <w:szCs w:val="16"/>
      </w:rPr>
      <w:t xml:space="preserve">Supply Chain Intelligence Platform  |  Snowflake + Python + Power BI</w:t>
    </w:r>
    <w:r>
      <w:rPr>
        <w:rFonts w:ascii="Arial" w:cs="Arial" w:eastAsia="Arial" w:hAnsi="Arial"/>
        <w:color w:val="5A6272"/>
        <w:sz w:val="16"/>
        <w:szCs w:val="16"/>
      </w:rPr>
      <w:t xml:space="preserve">	Page </w:t>
    </w:r>
    <w:r>
      <w:rPr>
        <w:rFonts w:ascii="Arial" w:cs="Arial" w:eastAsia="Arial" w:hAnsi="Arial"/>
        <w:b/>
        <w:bCs/>
        <w:color w:val="1B3F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F8B" w:sz="4" w:space="4"/>
      </w:pBdr>
      <w:spacing w:after="80"/>
    </w:pPr>
    <w:r>
      <w:rPr>
        <w:rFonts w:ascii="Arial" w:cs="Arial" w:eastAsia="Arial" w:hAnsi="Arial"/>
        <w:color w:val="5A6272"/>
        <w:sz w:val="16"/>
        <w:szCs w:val="16"/>
      </w:rPr>
      <w:t xml:space="preserve">Enterprise Supply Chain Intelligence Platform  |  Project Scope Document</w:t>
    </w:r>
    <w:r>
      <w:rPr>
        <w:rFonts w:ascii="Arial" w:cs="Arial" w:eastAsia="Arial" w:hAnsi="Arial"/>
        <w:b/>
        <w:bCs/>
        <w:color w:val="0E7C7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E7C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B3F8B"/>
      <w:sz w:val="30"/>
      <w:szCs w:val="30"/>
    </w:rPr>
  </w:style>
  <w:style w:type="paragraph" w:styleId="Heading2">
    <w:name w:val="Heading 2"/>
    <w:basedOn w:val="Normal"/>
    <w:next w:val="Normal"/>
    <w:qFormat/>
    <w:pPr>
      <w:spacing w:before="260" w:after="120"/>
      <w:outlineLvl w:val="1"/>
    </w:pPr>
    <w:rPr>
      <w:rFonts w:ascii="Arial" w:cs="Arial" w:eastAsia="Arial" w:hAnsi="Arial"/>
      <w:b/>
      <w:bCs/>
      <w:color w:val="0E7C7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2026-03-08T15:24:43.504Z</dcterms:created>
  <dcterms:modified xsi:type="dcterms:W3CDTF">2026-03-08T15:24:43.505Z</dcterms:modified>
</cp:coreProperties>
</file>

<file path=docProps/custom.xml><?xml version="1.0" encoding="utf-8"?>
<Properties xmlns="http://schemas.openxmlformats.org/officeDocument/2006/custom-properties" xmlns:vt="http://schemas.openxmlformats.org/officeDocument/2006/docPropsVTypes"/>
</file>