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</w:pPr>
      <w:r>
        <w:rPr>
          <w:rFonts w:ascii="Arial" w:cs="Arial" w:eastAsia="Arial" w:hAnsi="Arial"/>
          <w:b/>
          <w:bCs/>
          <w:color w:val="111113"/>
          <w:sz w:val="72"/>
          <w:szCs w:val="72"/>
        </w:rPr>
        <w:t xml:space="preserve">DEBONO</w:t>
      </w:r>
      <w:r>
        <w:rPr>
          <w:rFonts w:ascii="Arial" w:cs="Arial" w:eastAsia="Arial" w:hAnsi="Arial"/>
          <w:b/>
          <w:bCs/>
          <w:color w:val="F04A1D"/>
          <w:sz w:val="72"/>
          <w:szCs w:val="72"/>
        </w:rPr>
        <w:t xml:space="preserve">.</w:t>
      </w:r>
    </w:p>
    <w:p>
      <w:pPr>
        <w:spacing w:after="500"/>
      </w:pPr>
      <w:r>
        <w:rPr>
          <w:rFonts w:ascii="Arial" w:cs="Arial" w:eastAsia="Arial" w:hAnsi="Arial"/>
          <w:color w:val="111113"/>
          <w:sz w:val="40"/>
          <w:szCs w:val="40"/>
        </w:rPr>
        <w:t xml:space="preserve">Strategický manuál značky</w:t>
      </w:r>
    </w:p>
    <w:p>
      <w:pPr>
        <w:spacing w:after="120"/>
      </w:pPr>
      <w:r>
        <w:rPr>
          <w:rFonts w:ascii="Courier New" w:cs="Courier New" w:eastAsia="Courier New" w:hAnsi="Courier New"/>
          <w:color w:val="6F6F77"/>
          <w:sz w:val="18"/>
          <w:szCs w:val="18"/>
        </w:rPr>
        <w:t xml:space="preserve">Verze 1.0 · červenec 2026 · interní dokument</w:t>
      </w:r>
    </w:p>
    <w:p>
      <w:pPr>
        <w:spacing w:after="0"/>
      </w:pPr>
      <w:r>
        <w:rPr>
          <w:rFonts w:ascii="Arial" w:cs="Arial" w:eastAsia="Arial" w:hAnsi="Arial"/>
          <w:i/>
          <w:iCs/>
          <w:color w:val="6F6F77"/>
          <w:sz w:val="22"/>
          <w:szCs w:val="22"/>
        </w:rPr>
        <w:t xml:space="preserve">Styčný bod pro veškerou komunikaci značky Debono Interactive. Co je v rozporu s manuálem, nejde ven — nebo se nejdřív změní manuál.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1. K čemu manuál slouží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Jeden zdroj pravdy pro každého, kdo za Debono mluví, píše, navrhuje nebo prodává — od nabídky přes web až po post na sítích. Když si nejste jistí rozhodnutím, odpověď hledejte tady.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Pravidlo: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Co je v rozporu s manuálem, nejde ven. Nebo se nejdřív změní manuál.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F77"/>
          <w:sz w:val="19"/>
          <w:szCs w:val="19"/>
        </w:rPr>
        <w:t xml:space="preserve">Položky označené [OVĚŘIT] jsou kvalifikované odhady — doplňte reálná data a značku odstraňte.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2. Východiska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FAKTA O FIRMĚ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Kreativní studio z Prahy (Jiří Flachs). Hlavní divize: tvorba webů (Webflow) a vizuální identity. Dále vlastní foto/video produkce, řízení výroby (tisk, značení, POS) a správa sociálních sítí.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Reference: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Škoda Auto, Kooperativa, IKEM, Očkovací centrum Westfield Chodov, Telly, St. Nicolaus, NEVA, Nepanikař, Albistech, KM Publicity, Maso Pelikán, Zlatá Studna, Laptime.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04A1D"/>
          <w:sz w:val="21"/>
          <w:szCs w:val="21"/>
        </w:rPr>
        <w:t xml:space="preserve">9 z 10 poptávek končí spoluprací.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Web tedy nemusí přesvědčovat davy — musí přivést správné lidi na první schůzku.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KONTEXT TRHU 2026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AI zlevnila výrobu: „nějaký web" vznikne za odpoledne, průměrný obsah na kliknutí. Hodnota se přesouvá z výroby do strategie, vkusu a důvěry.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Česká scéna komunikuje AI třemi způsoby: jako službu (enterprise), jako thought-leadership (Justmighty), nebo mlčí (malá studia). Pozice „hrdě lidské řemeslo, akcelerované AI" je volná.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Sílí „human-made" backlash — hodnota skutečných fotek a vlastní produkce roste.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Nastupuje AEO (Answer Engine Optimization) — viditelnost v AI vyhledávání; česky ji téměř nikdo nenabízí.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3. Vize, mise, hodnoty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Vize: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Být v Česku první volbou pro firmy, které nechtějí být průměrné.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Mise: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Děláme z prvního dojmu nejsilnější obchodní argument našich klientů — značkou, webem a obsahem, které někdo promyslel.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HODNOTY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Poctivé řemeslo.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Každý detail projde rukama. Pod práci se podepisujeme.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Partnerství.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Neseme spoluzodpovědnost za výsledek; říkáme i to, co se neposlouchá dobře.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Vkus před trendem.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Návrhy stavíme z klienta, ne z Dribbblu.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Technologie jako páka.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AI je náš nejrychlejší junior; kreativní ředitel je pořád člověk.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Lidskost.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Malé studio schválně — klient mluví s tvůrci.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4. Brand positioning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POSITIONING STATEMENT (INTERNÍ)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Pro ambiciózní firmy a kliniky, které vědí, že první dojem rozhoduje, je Debono strategický a kreativní partner: společně nastavíme směr značky a postavíme vše, co ji k němu dostane — identitu, web, kampaň i produkci. Na rozdíl od AI nástrojů a webových fabrik neprodáváme hodiny ani šablony; neseme spoluzodpovědnost za výsledek.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Big idea (interní kompas)</w:t>
            </w:r>
          </w:p>
        </w:tc>
        <w:tc>
          <w:tcPr>
            <w:tcW w:type="dxa" w:w="62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„Průměr si vygenerujete sami. My umíme to ostatní."</w:t>
            </w:r>
          </w:p>
        </w:tc>
      </w:tr>
      <w:tr>
        <w:tc>
          <w:tcPr>
            <w:tcW w:type="dxa" w:w="31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Veřejný claim (web)</w:t>
            </w:r>
          </w:p>
        </w:tc>
        <w:tc>
          <w:tcPr>
            <w:tcW w:type="dxa" w:w="62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„Doba se zrychlila. Důvěra ne."</w:t>
            </w:r>
          </w:p>
        </w:tc>
      </w:tr>
      <w:tr>
        <w:tc>
          <w:tcPr>
            <w:tcW w:type="dxa" w:w="31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AI manifest</w:t>
            </w:r>
          </w:p>
        </w:tc>
        <w:tc>
          <w:tcPr>
            <w:tcW w:type="dxa" w:w="62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„AI je náš nejrychlejší junior. Kreativní ředitel je pořád člověk."</w:t>
            </w:r>
          </w:p>
        </w:tc>
      </w:tr>
      <w:tr>
        <w:tc>
          <w:tcPr>
            <w:tcW w:type="dxa" w:w="31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Proces</w:t>
            </w:r>
          </w:p>
        </w:tc>
        <w:tc>
          <w:tcPr>
            <w:tcW w:type="dxa" w:w="62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Metoda MÍRA: Změříme → Navrhneme → Vyrobíme → Vyladíme (agilní kolo, ne pás)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TŘI PILÍŘE HODNOTY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1. Vkus se nedá vygenerovat — řemeslo, rukopis, detail.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2. Od nápadu po výrobu — jedna parta: strategie → design → web → foto/video → tisk.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3. Partner, ne dodavatel — spoluzodpovědnost, dlouhé vztahy.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DIFERENCIÁTORY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Web-first branding: značku navrhujeme tam, kde bude žít — na webu, ne v PDF.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In-house produkce jako anti-AI trumf: skutečné fotky a videa vaší firmy, žádné stocky.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Transparentní AI postoj: úsporu z AI vracíme do kvality, ne do marže.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Zdravotnická expertiza: IKEM, Westfield Chodov, Nepanikař.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KONKURENČNÍ 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c>
          <w:tcPr>
            <w:tcW w:type="dxa" w:w="26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1111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Tábor</w:t>
            </w:r>
          </w:p>
        </w:tc>
        <w:tc>
          <w:tcPr>
            <w:tcW w:type="dxa" w:w="33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1111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Kdo</w:t>
            </w:r>
          </w:p>
        </w:tc>
        <w:tc>
          <w:tcPr>
            <w:tcW w:type="dxa" w:w="346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1111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Náš vztah</w:t>
            </w:r>
          </w:p>
        </w:tc>
      </w:tr>
      <w:tr>
        <w:tc>
          <w:tcPr>
            <w:tcW w:type="dxa" w:w="26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AI jako služba (enterprise)</w:t>
            </w:r>
          </w:p>
        </w:tc>
        <w:tc>
          <w:tcPr>
            <w:tcW w:type="dxa" w:w="33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Actum, Beneš &amp; Michl, Pixelmate, Lundegaard</w:t>
            </w:r>
          </w:p>
        </w:tc>
        <w:tc>
          <w:tcPr>
            <w:tcW w:type="dxa" w:w="346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Jiná liga i klient — nekonkurujeme přímo</w:t>
            </w:r>
          </w:p>
        </w:tc>
      </w:tr>
      <w:tr>
        <w:tc>
          <w:tcPr>
            <w:tcW w:type="dxa" w:w="26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AI thought-leadership</w:t>
            </w:r>
          </w:p>
        </w:tc>
        <w:tc>
          <w:tcPr>
            <w:tcW w:type="dxa" w:w="33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Justmighty</w:t>
            </w:r>
          </w:p>
        </w:tc>
        <w:tc>
          <w:tcPr>
            <w:tcW w:type="dxa" w:w="346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Nejblíž tónem; jiné težiště (kampaně)</w:t>
            </w:r>
          </w:p>
        </w:tc>
      </w:tr>
      <w:tr>
        <w:tc>
          <w:tcPr>
            <w:tcW w:type="dxa" w:w="26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Mlčící řemeslníci</w:t>
            </w:r>
          </w:p>
        </w:tc>
        <w:tc>
          <w:tcPr>
            <w:tcW w:type="dxa" w:w="330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The Compote, Semibold, malá studia</w:t>
            </w:r>
          </w:p>
        </w:tc>
        <w:tc>
          <w:tcPr>
            <w:tcW w:type="dxa" w:w="346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Přímá konkurence — bez AI narativu a bez produkce. Tady vyhráváme.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5. Cílové skupiny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Čtyři persony seřazené podle priority. U každé: kdo to je, co ho bolí, co rozhoduje a co mu říct.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PERSONA A · AMBICIÓZNÍ MAJITEL — PRIMÁRNÍ (~50 % POPTÁVEK [OVĚŘIT])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Profil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Majitel/jednatel firmy 10–50 lidí (služby, výroba, gastro, reality), 32–50 let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Bolest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Firma vyrostla, ale značka a web zůstaly „z garáže" — stydí se poslat odkaz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Spouštěč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Expanze, nová pobočka, investor, „už to musíme udělat pořádně"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Rozhoduje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Důvěra, reference, osobní chemie; cena až druhá. Bojí se agenturního kolotoče a víceprací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Kde ho zasáhnout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Doporučení, Google, Instagram/LinkedIn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Klíčové sdělení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„Nejste průměrní. Tak proč tak vypadat?" + Dodavatele vyměníte, partnera ne.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PERSONA B · ŘEDITELKA KLINIKY — RŮSTOVÁ (CÍL ~25 %)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Profil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Ředitel/ka či lékař-majitel soukromé kliniky nebo sítě ambulancí, 38–55 let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Bolest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Pacienti volají místo online objednání; web nepůsobí důvěryhodně; konkurence je vizuálně dál; vázne nábor lékařů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Spouštěč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Nová pobočka/služba, akreditace, negativní recenze, nábor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Rozhoduje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Reference ze zdravotnictví, citlivost k oboru, GDPR. Bariéry: čas, „agentury nám nerozumí"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Kde ji zasáhnout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Doporučení mezi lékaři, LinkedIn, oborové konference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Klíčové sdělení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„Pacient si vás vyšetří dřív, než vy jeho." + balíček Web kliniky na klíč + IKEM/Westfield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PERSONA C · MARKETINGOVÁ MANAŽERKA VĚTŠÍ FIRMY — VÝNOSOVÁ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Profil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Brand/marketing manažer korporace či větší firmy (pojišťovnictví, automotive, FMCG, TV), 28–45 let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Bolest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Velké agentury pomalé a drahé; interní tým nestíhá produkci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Spouštěč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Kampaň s termínem, product launch, event, mikrosite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Rozhoduje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Rychlost, spolehlivost, reference velkých značek (Škoda, Kooperativa), cena vs. velká agentura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Kde ji zasáhnout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LinkedIn, doporučení, poptávková řízení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Klíčové sdělení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Kvalita velké agentury, tempo a ceny malého studia. Produkce in-house.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PERSONA D · FOUNDER STARTUPU — SEKUNDÁRNÍ, VÝBĚROVĚ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Rychlost a MVP, omezený rozpočet. Brát jen při dobrém fitu (drzý filtr na LP Weby) — jinak nasměrovat na menší balíček. Chrání pozici i kapacitu.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6. SWOT analýza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EAF7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SILNÉ STRÁNKY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9/10 poptávek → spolupráce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In-house produkce foto/video + výroba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Seniorní Webflow expertiza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Reference velkých značek i zdravotnictví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Malý tým = rychlost, klient mluví s tvůrci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AI-akcelerované procesy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DF0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SLABÉ STRÁNKY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Kapacita malého týmu, bus factor na klíčové osobě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Inbound závislý na doporučeních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Case studies bez tvrdých čísel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Pozice a ceny dosud nejasně komunikované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Nízká awareness mimo okruh, žádné awards/PR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Procesy málo zdokumentované [OVĚŘIT]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EDF2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PŘÍLEŽITOSTI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Volná pozice „lidské řemeslo × AI" v ČR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AEO jako nová služba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Produktizovaný balíček pro kliniky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Přesun rozpočtů z produkce do strategie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Human-made backlash → hodnota produkce roste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Value pricing místo hodinovky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Thought-leadership na AI téma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BF3D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HROZBY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Komoditizace webů (Lovable, Framer AI) tlačí ceny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Enterprise hráči obsazují „AI" v hlavách klientů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Škrty rozpočtů v recesi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Koncentrace příjmů u málo klientů [OVĚŘIT]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Přetížení malého týmu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Platform-risk Webflow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STRATEGICKÉ TAHY, KTERÉ ZE SWOT PLYNOU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S→O: AI manifest + produkce jako hlavní diferenciace nového webu (běží).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W→O: Do 90 dnů 3 case studies s čísly (IKEM, Škoda, Nepanikař) — léčí slabinu důkazů.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W→T: Systemizovat procesy (metoda MÍRA interně = checklisty), snížit bus factor.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S→O: Spustit balíček „Web kliniky na klíč" + cílený outreach na 10 klinik.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O: Přidat AEO do nabídky webů.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W: Pravidelný obsah (1 case study či článek měsíčně) → nezávislost na doporučeních.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7. Osobnost značky a tone of voice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Archetyp: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Tvůrce s prvky Mudrce — řemeslník, který ví, kam svět jde.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Charakter: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vizionářský · sebevědomý s nadsázkou · řemeslný · lidský. Drzost míří na průměr, nikdy na klienta.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PRAVIDLA PSANÍ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Vykáme (jediná výjimka: Kariéra — mluvíme k budoucím kolegům).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Max 2 velká hesla na stránku; zbytek normální věty s konkréty.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Přínosy místo činností: „Získáte jasno", ne „Děláme strategie".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Slovník dílny: měřit, pilovat, ladit, rukopis, poctivá práce.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Zakázaná slova: „médium", generické „AI-powered", „full-service", „komplexní řešení", superlativy bez důkazu.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EAF7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TAKHLE ANO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DF0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TAKHLE NE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„Do týdne víte, co, kdy a za kolik."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„Nabízíme komplexní řešení na klíč."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„AI nám píše kód. Co napsat, říkáme my."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„Využíváme nejmodernější AI technologie."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„Fotky, které jsou opravdu vaše — žádné stocky."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„Profesionální fotografické služby."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„Nejsme pro každého. Naštěstí."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„Individuální přístup ke každému klientovi."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8. Architektura služeb a cenotvorba</w:t>
      </w:r>
    </w:p>
    <w:p>
      <w:pPr>
        <w:spacing w:after="16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Pět služeb, každá s vlastní landing page: Strategie značky · Vizuální identita · Tvorba webů (vlajková loď) · Produkce foto &amp; video · Social media &amp; kampaně. Segmentové stránky: Pro kliniky (první), později developeři / výrobní firmy.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PRINCIPY CEN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Cena za výstup a hodnotu, ne za hodiny: „Cena roste s rozsahem, ne s počtem hodin — a nabídka platí."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Ceny „od" veřejně na webu (filtr poptávek): web od 150 000 Kč [OVĚŘIT], identita od X, balíček kliniky od X.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Úspora z AI jde do kvality, ne do marže — říkáme to nahlas, je to obchodní argument.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Prodejní logika návaznosti: strategie → identita → web → produkce → social. Cíl: rostoucí podíl klientů se 2+ službami a retainerem.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9. Marketingová strategie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113"/>
          <w:sz w:val="21"/>
          <w:szCs w:val="21"/>
        </w:rPr>
        <w:t xml:space="preserve">Funnel: </w:t>
      </w:r>
      <w:r>
        <w:rPr>
          <w:rFonts w:ascii="Arial" w:cs="Arial" w:eastAsia="Arial" w:hAnsi="Arial"/>
          <w:color w:val="111113"/>
          <w:sz w:val="21"/>
          <w:szCs w:val="21"/>
        </w:rPr>
        <w:t xml:space="preserve">doporučení + obsah + SEO/AEO → web (wow + důkazy) → konzultace do 24 h → nabídka do týdne → zakázka → case study → další doporučení.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KANÁLY PODLE PRIORITY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1. Vlastní web — konverzní stroj: case studies s čísly, FAQ s AEO schématy.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2. Doporučení systematicky — po každém projektu říct si o intro a recenzi.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3. LinkedIn (Jirka osobně) — 2× měsíčně: AI manifest v praxi, před/po, čísla.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4. Instagram — BTS z produkce a dílny (lidskost, human-made).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5. PR — 1 výstup kvartálně (téma „řemeslo v době AI").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6. Outreach kliniky — 10 vytipovaných, personalizovaný mini-audit webu zdarma.</w:t>
      </w:r>
    </w:p>
    <w:p>
      <w:pPr>
        <w:spacing w:after="120" w:before="60"/>
      </w:pPr>
      <w:r>
        <w:rPr>
          <w:rFonts w:ascii="Arial" w:cs="Arial" w:eastAsia="Arial" w:hAnsi="Arial"/>
          <w:color w:val="F04A1D"/>
          <w:sz w:val="16"/>
          <w:szCs w:val="16"/>
        </w:rPr>
        <w:t xml:space="preserve">● </w:t>
      </w:r>
      <w:r>
        <w:rPr>
          <w:rFonts w:ascii="Courier New" w:cs="Courier New" w:eastAsia="Courier New" w:hAnsi="Courier New"/>
          <w:color w:val="6F6F77"/>
          <w:spacing w:val="40"/>
          <w:sz w:val="17"/>
          <w:szCs w:val="17"/>
        </w:rPr>
        <w:t xml:space="preserve">KPI — MĚSÍČNÍ PŘEHLED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1111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1111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Cíl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Počet kvalifikovaných poptávek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[DOPLNIT] / měsíc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Konverze poptávka → zakázka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Udržet ≥ 85 %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Čas první reakce na poptávku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&lt; 24 hodin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Průměrná hodnota zakázky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[DOPLNIT], sledovat trend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Podíl klientů se 2+ službami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Růst kvartál/kvartál</w:t>
            </w:r>
          </w:p>
        </w:tc>
      </w:tr>
      <w:tr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Konverze webu (návštěva → poptávka)</w:t>
            </w:r>
          </w:p>
        </w:tc>
        <w:tc>
          <w:tcPr>
            <w:tcW w:type="dxa" w:w="468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Baseline po spuštění, pak +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10. Roadmapa 90 dní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MĚSÍC 1 · ZÁKLADY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Dokončit obsah webu (texty v3, ceny, nafotit tým) · 3 case studies s čísly · nastavit analytiku a KPI · doplnit [OVĚŘIT] položky manuálu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MĚSÍC 2 · LAUNCH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Spustit nový web + LP Pro kliniky · LinkedIn série + PR výstup („AI je náš nejrychlejší junior") · zapnout obsahový rytmus</w:t>
            </w:r>
          </w:p>
        </w:tc>
      </w:tr>
      <w:tr>
        <w:tc>
          <w:tcPr>
            <w:tcW w:type="dxa" w:w="234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shd w:fill="F1F0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111113"/>
                <w:sz w:val="20"/>
                <w:szCs w:val="20"/>
              </w:rPr>
              <w:t xml:space="preserve">MĚSÍC 3 · RŮST</w:t>
            </w:r>
          </w:p>
        </w:tc>
        <w:tc>
          <w:tcPr>
            <w:tcW w:type="dxa" w:w="7020"/>
            <w:tcBorders>
              <w:top w:val="single" w:color="E5E4DE" w:sz="4"/>
              <w:left w:val="single" w:color="E5E4DE" w:sz="4"/>
              <w:bottom w:val="single" w:color="E5E4DE" w:sz="4"/>
              <w:right w:val="single" w:color="E5E4D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11113"/>
                <w:sz w:val="20"/>
                <w:szCs w:val="20"/>
              </w:rPr>
              <w:t xml:space="preserve">Spustit AEO nabídku · outreach 10 klinik · vyhodnotit KPI, doladit ceny a balíčky · rozhodnout kapacity (freelance síť vs. hire)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113"/>
          <w:sz w:val="34"/>
          <w:szCs w:val="34"/>
        </w:rPr>
        <w:t xml:space="preserve">11. Přílohy a navazující dokumenty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01-strategie.md — strategie webu, konverzní zásady, závěry rešerše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02-struktura-a-texty.md — kompletní texty webu + zásobník hesel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03-reserse-konkurence-ai.md — konkurenční rešerše se zdroji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11113"/>
          <w:sz w:val="21"/>
          <w:szCs w:val="21"/>
        </w:rPr>
        <w:t xml:space="preserve">prototyp.html — klikatelný prototyp ve finálním UI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2026-07-22T08:51:12.921Z</dcterms:created>
  <dcterms:modified xsi:type="dcterms:W3CDTF">2026-07-22T08:51:12.922Z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