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56"/>
          <w:szCs w:val="56"/>
        </w:rPr>
        <w:t xml:space="preserve">Observatoire du trafic aérien</w:t>
      </w:r>
    </w:p>
    <w:p>
      <w:pPr>
        <w:spacing w:after="100" w:before="200"/>
        <w:jc w:val="center"/>
      </w:pPr>
      <w:r>
        <w:rPr>
          <w:color w:val="2E75B6"/>
          <w:sz w:val="30"/>
          <w:szCs w:val="30"/>
        </w:rPr>
        <w:t xml:space="preserve">Documentation technique — POC Dataiku Cloud</w:t>
      </w:r>
    </w:p>
    <w:p>
      <w:pPr>
        <w:spacing w:before="600"/>
        <w:jc w:val="center"/>
      </w:pPr>
      <w:r>
        <w:rPr>
          <w:i/>
          <w:iCs/>
          <w:color w:val="595959"/>
          <w:sz w:val="21"/>
          <w:szCs w:val="21"/>
        </w:rPr>
        <w:t xml:space="preserve">Pipeline multi-sources (base cloud, API, Google Sheets) orchestré dans Dataiku Cloud, illustré par un cas d'usage aéronautique de suivi de trafic</w:t>
      </w:r>
    </w:p>
    <w:p>
      <w:pPr>
        <w:spacing w:before="1200"/>
      </w:pP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620"/>
        <w:gridCol w:w="6739"/>
      </w:tblGrid>
      <w:tr>
        <w:tc>
          <w:tcPr>
            <w:tcW w:type="dxa" w:w="2620"/>
            <w:shd w:fill="EAF1F8" w:val="clear"/>
            <w:tcMar>
              <w:top w:type="dxa" w:w="100"/>
              <w:left w:type="dxa" w:w="140"/>
              <w:bottom w:type="dxa" w:w="100"/>
              <w:right w:type="dxa" w:w="140"/>
            </w:tcMar>
            <w:vAlign w:val="center"/>
          </w:tcPr>
          <w:p>
            <w:r>
              <w:rPr>
                <w:b/>
                <w:bCs/>
                <w:sz w:val="19"/>
                <w:szCs w:val="19"/>
              </w:rPr>
              <w:t xml:space="preserve">Auteure</w:t>
            </w:r>
          </w:p>
        </w:tc>
        <w:tc>
          <w:tcPr>
            <w:tcW w:type="dxa" w:w="6739"/>
            <w:tcMar>
              <w:top w:type="dxa" w:w="100"/>
              <w:left w:type="dxa" w:w="140"/>
              <w:bottom w:type="dxa" w:w="100"/>
              <w:right w:type="dxa" w:w="140"/>
            </w:tcMar>
            <w:vAlign w:val="center"/>
          </w:tcPr>
          <w:p>
            <w:r>
              <w:rPr>
                <w:sz w:val="19"/>
                <w:szCs w:val="19"/>
              </w:rPr>
              <w:t xml:space="preserve">Débora Mandon</w:t>
            </w:r>
          </w:p>
        </w:tc>
      </w:tr>
      <w:tr>
        <w:tc>
          <w:tcPr>
            <w:tcW w:type="dxa" w:w="2620"/>
            <w:shd w:fill="FFFFFF" w:val="clear"/>
            <w:tcMar>
              <w:top w:type="dxa" w:w="100"/>
              <w:left w:type="dxa" w:w="140"/>
              <w:bottom w:type="dxa" w:w="100"/>
              <w:right w:type="dxa" w:w="140"/>
            </w:tcMar>
            <w:vAlign w:val="center"/>
          </w:tcPr>
          <w:p>
            <w:r>
              <w:rPr>
                <w:b/>
                <w:bCs/>
                <w:sz w:val="19"/>
                <w:szCs w:val="19"/>
              </w:rPr>
              <w:t xml:space="preserve">Rôle</w:t>
            </w:r>
          </w:p>
        </w:tc>
        <w:tc>
          <w:tcPr>
            <w:tcW w:type="dxa" w:w="6739"/>
            <w:tcMar>
              <w:top w:type="dxa" w:w="100"/>
              <w:left w:type="dxa" w:w="140"/>
              <w:bottom w:type="dxa" w:w="100"/>
              <w:right w:type="dxa" w:w="140"/>
            </w:tcMar>
            <w:vAlign w:val="center"/>
          </w:tcPr>
          <w:p>
            <w:r>
              <w:rPr>
                <w:sz w:val="19"/>
                <w:szCs w:val="19"/>
              </w:rPr>
              <w:t xml:space="preserve">Data Engineer / BI Consultant</w:t>
            </w:r>
          </w:p>
        </w:tc>
      </w:tr>
      <w:tr>
        <w:tc>
          <w:tcPr>
            <w:tcW w:type="dxa" w:w="2620"/>
            <w:shd w:fill="FFFFFF" w:val="clear"/>
            <w:tcMar>
              <w:top w:type="dxa" w:w="100"/>
              <w:left w:type="dxa" w:w="140"/>
              <w:bottom w:type="dxa" w:w="100"/>
              <w:right w:type="dxa" w:w="140"/>
            </w:tcMar>
            <w:vAlign w:val="center"/>
          </w:tcPr>
          <w:p>
            <w:r>
              <w:rPr>
                <w:b/>
                <w:bCs/>
                <w:sz w:val="19"/>
                <w:szCs w:val="19"/>
              </w:rPr>
              <w:t xml:space="preserve">Dépôt GitHub</w:t>
            </w:r>
          </w:p>
        </w:tc>
        <w:tc>
          <w:tcPr>
            <w:tcW w:type="dxa" w:w="6739"/>
            <w:tcMar>
              <w:top w:type="dxa" w:w="100"/>
              <w:left w:type="dxa" w:w="140"/>
              <w:bottom w:type="dxa" w:w="100"/>
              <w:right w:type="dxa" w:w="140"/>
            </w:tcMar>
            <w:vAlign w:val="center"/>
          </w:tcPr>
          <w:p>
            <w:r>
              <w:rPr>
                <w:sz w:val="19"/>
                <w:szCs w:val="19"/>
              </w:rPr>
              <w:t xml:space="preserve">github.com/DeboraMandon/dataiku-aero-poc</w:t>
            </w:r>
          </w:p>
        </w:tc>
      </w:tr>
      <w:tr>
        <w:tc>
          <w:tcPr>
            <w:tcW w:type="dxa" w:w="2620"/>
            <w:shd w:fill="FFFFFF" w:val="clear"/>
            <w:tcMar>
              <w:top w:type="dxa" w:w="100"/>
              <w:left w:type="dxa" w:w="140"/>
              <w:bottom w:type="dxa" w:w="100"/>
              <w:right w:type="dxa" w:w="140"/>
            </w:tcMar>
            <w:vAlign w:val="center"/>
          </w:tcPr>
          <w:p>
            <w:r>
              <w:rPr>
                <w:b/>
                <w:bCs/>
                <w:sz w:val="19"/>
                <w:szCs w:val="19"/>
              </w:rPr>
              <w:t xml:space="preserve">Date</w:t>
            </w:r>
          </w:p>
        </w:tc>
        <w:tc>
          <w:tcPr>
            <w:tcW w:type="dxa" w:w="6739"/>
            <w:tcMar>
              <w:top w:type="dxa" w:w="100"/>
              <w:left w:type="dxa" w:w="140"/>
              <w:bottom w:type="dxa" w:w="100"/>
              <w:right w:type="dxa" w:w="140"/>
            </w:tcMar>
            <w:vAlign w:val="center"/>
          </w:tcPr>
          <w:p>
            <w:r>
              <w:rPr>
                <w:sz w:val="19"/>
                <w:szCs w:val="19"/>
              </w:rPr>
              <w:t xml:space="preserve">24 juillet 2026</w:t>
            </w:r>
          </w:p>
        </w:tc>
      </w:tr>
      <w:tr>
        <w:tc>
          <w:tcPr>
            <w:tcW w:type="dxa" w:w="2620"/>
            <w:shd w:fill="FFFFFF" w:val="clear"/>
            <w:tcMar>
              <w:top w:type="dxa" w:w="100"/>
              <w:left w:type="dxa" w:w="140"/>
              <w:bottom w:type="dxa" w:w="100"/>
              <w:right w:type="dxa" w:w="140"/>
            </w:tcMar>
            <w:vAlign w:val="center"/>
          </w:tcPr>
          <w:p>
            <w:r>
              <w:rPr>
                <w:b/>
                <w:bCs/>
                <w:sz w:val="19"/>
                <w:szCs w:val="19"/>
              </w:rPr>
              <w:t xml:space="preserve">Statut</w:t>
            </w:r>
          </w:p>
        </w:tc>
        <w:tc>
          <w:tcPr>
            <w:tcW w:type="dxa" w:w="6739"/>
            <w:tcMar>
              <w:top w:type="dxa" w:w="100"/>
              <w:left w:type="dxa" w:w="140"/>
              <w:bottom w:type="dxa" w:w="100"/>
              <w:right w:type="dxa" w:w="140"/>
            </w:tcMar>
            <w:vAlign w:val="center"/>
          </w:tcPr>
          <w:p>
            <w:r>
              <w:rPr>
                <w:sz w:val="19"/>
                <w:szCs w:val="19"/>
              </w:rPr>
              <w:t xml:space="preserve">POC fonctionnel — pipeline, dashboard et scenario opérationnels</w:t>
            </w:r>
          </w:p>
        </w:tc>
      </w:tr>
    </w:tbl>
    <w:p>
      <w:r>
        <w:br w:type="page"/>
      </w:r>
    </w:p>
    <w:p>
      <w:pPr>
        <w:pStyle w:val="Heading1"/>
        <w:spacing w:after="200" w:before="400"/>
      </w:pPr>
      <w:r>
        <w:rPr>
          <w:b/>
          <w:bCs/>
          <w:color w:val="1F3864"/>
          <w:sz w:val="30"/>
          <w:szCs w:val="30"/>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rPr>
          <w:b/>
          <w:bCs/>
          <w:color w:val="1F3864"/>
          <w:sz w:val="30"/>
          <w:szCs w:val="30"/>
        </w:rPr>
        <w:t xml:space="preserve">1. Contexte et objectifs</w:t>
      </w:r>
    </w:p>
    <w:p>
      <w:pPr>
        <w:spacing w:after="160" w:line="276"/>
      </w:pPr>
      <w:r>
        <w:rPr>
          <w:sz w:val="21"/>
          <w:szCs w:val="21"/>
        </w:rPr>
        <w:t xml:space="preserve">Ce document décrit un proof of concept (POC) personnel réalisé sur le free trial de Dataiku Cloud. L'objectif était double : évaluer Dataiku Cloud comme plateforme de BI/Data Engineering low-code, et démontrer sa capacité à se connecter à trois types de sources de données représentatifs de contextes professionnels réels — une base de données cloud accessible depuis n'importe quel poste, une API externe, et un fichier collaboratif de type Google Sheets couramment utilisé pour la saisie manuelle de données métier.</w:t>
      </w:r>
    </w:p>
    <w:p>
      <w:pPr>
        <w:spacing w:after="160" w:line="276"/>
      </w:pPr>
      <w:r>
        <w:rPr>
          <w:sz w:val="21"/>
          <w:szCs w:val="21"/>
        </w:rPr>
        <w:t xml:space="preserve">Le cas d'usage retenu, à thème aéronautique, consiste à suivre le statut des vols pour une liste d'aéroports français prioritaires, en croisant :</w:t>
      </w:r>
    </w:p>
    <w:p>
      <w:pPr>
        <w:pStyle w:val="ListParagraph"/>
        <w:numPr>
          <w:ilvl w:val="0"/>
          <w:numId w:val="2"/>
        </w:numPr>
        <w:spacing w:after="80"/>
      </w:pPr>
      <w:r>
        <w:rPr>
          <w:sz w:val="21"/>
          <w:szCs w:val="21"/>
        </w:rPr>
        <w:t xml:space="preserve">un référentiel aéroportuaire statique, stocké dans une base PostgreSQL cloud (Neon) ;</w:t>
      </w:r>
    </w:p>
    <w:p>
      <w:pPr>
        <w:pStyle w:val="ListParagraph"/>
        <w:numPr>
          <w:ilvl w:val="0"/>
          <w:numId w:val="2"/>
        </w:numPr>
        <w:spacing w:after="80"/>
      </w:pPr>
      <w:r>
        <w:rPr>
          <w:sz w:val="21"/>
          <w:szCs w:val="21"/>
        </w:rPr>
        <w:t xml:space="preserve">une liste d'aéroports "suivis" avec un niveau de priorité, saisie et maintenue à la main dans une feuille Google Sheets, simulant un input métier ;</w:t>
      </w:r>
    </w:p>
    <w:p>
      <w:pPr>
        <w:pStyle w:val="ListParagraph"/>
        <w:numPr>
          <w:ilvl w:val="0"/>
          <w:numId w:val="2"/>
        </w:numPr>
        <w:spacing w:after="80"/>
      </w:pPr>
      <w:r>
        <w:rPr>
          <w:sz w:val="21"/>
          <w:szCs w:val="21"/>
        </w:rPr>
        <w:t xml:space="preserve">les statuts de vol en cours pour ces aéroports, récupérés via l'API Aviationstack.</w:t>
      </w:r>
    </w:p>
    <w:p>
      <w:pPr>
        <w:spacing w:after="160" w:line="276"/>
      </w:pPr>
      <w:r>
        <w:rPr>
          <w:sz w:val="21"/>
          <w:szCs w:val="21"/>
        </w:rPr>
        <w:t xml:space="preserve">Le projet a également servi de cas d'école pour documenter un vrai processus de diagnostic et de pivot technique, détaillé en section 4, suite à un blocage réseau rencontré avec la source de données initialement prévue (OpenSky Network).</w:t>
      </w:r>
    </w:p>
    <w:p>
      <w:pPr>
        <w:pStyle w:val="Heading1"/>
        <w:spacing w:after="200" w:before="400"/>
      </w:pPr>
      <w:r>
        <w:rPr>
          <w:b/>
          <w:bCs/>
          <w:color w:val="1F3864"/>
          <w:sz w:val="30"/>
          <w:szCs w:val="30"/>
        </w:rPr>
        <w:t xml:space="preserve">2. Architecture technique</w:t>
      </w:r>
    </w:p>
    <w:p>
      <w:pPr>
        <w:pStyle w:val="Heading2"/>
        <w:spacing w:after="150" w:before="300"/>
      </w:pPr>
      <w:r>
        <w:rPr>
          <w:b/>
          <w:bCs/>
          <w:color w:val="2E75B6"/>
          <w:sz w:val="24"/>
          <w:szCs w:val="24"/>
        </w:rPr>
        <w:t xml:space="preserve">2.1 Vue d'ensemble</w:t>
      </w:r>
    </w:p>
    <w:p>
      <w:pPr>
        <w:spacing w:after="160" w:line="276"/>
      </w:pPr>
      <w:r>
        <w:rPr>
          <w:sz w:val="21"/>
          <w:szCs w:val="21"/>
        </w:rPr>
        <w:t xml:space="preserve">L'architecture retenue connecte trois sources hétérogènes à un flow Dataiku Cloud, qui les combine pour alimenter un dashboard et un scenario planifié :</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433"/>
        <w:gridCol w:w="4680"/>
        <w:gridCol w:w="2246"/>
      </w:tblGrid>
      <w:tr>
        <w:trPr>
          <w:tblHeader/>
        </w:trPr>
        <w:tc>
          <w:tcPr>
            <w:tcW w:type="dxa" w:w="2433"/>
            <w:shd w:fill="1F3864" w:val="clear"/>
            <w:tcMar>
              <w:top w:type="dxa" w:w="100"/>
              <w:left w:type="dxa" w:w="140"/>
              <w:bottom w:type="dxa" w:w="100"/>
              <w:right w:type="dxa" w:w="140"/>
            </w:tcMar>
            <w:vAlign w:val="center"/>
          </w:tcPr>
          <w:p>
            <w:r>
              <w:rPr>
                <w:b/>
                <w:bCs/>
                <w:color w:val="FFFFFF"/>
                <w:sz w:val="19"/>
                <w:szCs w:val="19"/>
              </w:rPr>
              <w:t xml:space="preserve">Source</w:t>
            </w:r>
          </w:p>
        </w:tc>
        <w:tc>
          <w:tcPr>
            <w:tcW w:type="dxa" w:w="4680"/>
            <w:shd w:fill="1F3864" w:val="clear"/>
            <w:tcMar>
              <w:top w:type="dxa" w:w="100"/>
              <w:left w:type="dxa" w:w="140"/>
              <w:bottom w:type="dxa" w:w="100"/>
              <w:right w:type="dxa" w:w="140"/>
            </w:tcMar>
            <w:vAlign w:val="center"/>
          </w:tcPr>
          <w:p>
            <w:r>
              <w:rPr>
                <w:b/>
                <w:bCs/>
                <w:color w:val="FFFFFF"/>
                <w:sz w:val="19"/>
                <w:szCs w:val="19"/>
              </w:rPr>
              <w:t xml:space="preserve">Rôle</w:t>
            </w:r>
          </w:p>
        </w:tc>
        <w:tc>
          <w:tcPr>
            <w:tcW w:type="dxa" w:w="2246"/>
            <w:shd w:fill="1F3864" w:val="clear"/>
            <w:tcMar>
              <w:top w:type="dxa" w:w="100"/>
              <w:left w:type="dxa" w:w="140"/>
              <w:bottom w:type="dxa" w:w="100"/>
              <w:right w:type="dxa" w:w="140"/>
            </w:tcMar>
            <w:vAlign w:val="center"/>
          </w:tcPr>
          <w:p>
            <w:r>
              <w:rPr>
                <w:b/>
                <w:bCs/>
                <w:color w:val="FFFFFF"/>
                <w:sz w:val="19"/>
                <w:szCs w:val="19"/>
              </w:rPr>
              <w:t xml:space="preserve">Type de connexion</w:t>
            </w:r>
          </w:p>
        </w:tc>
      </w:tr>
      <w:tr>
        <w:tc>
          <w:tcPr>
            <w:tcW w:type="dxa" w:w="2433"/>
            <w:tcMar>
              <w:top w:type="dxa" w:w="100"/>
              <w:left w:type="dxa" w:w="140"/>
              <w:bottom w:type="dxa" w:w="100"/>
              <w:right w:type="dxa" w:w="140"/>
            </w:tcMar>
            <w:vAlign w:val="top"/>
          </w:tcPr>
          <w:p>
            <w:r>
              <w:rPr>
                <w:sz w:val="18"/>
                <w:szCs w:val="18"/>
              </w:rPr>
              <w:t xml:space="preserve">Neon (PostgreSQL)</w:t>
            </w:r>
          </w:p>
        </w:tc>
        <w:tc>
          <w:tcPr>
            <w:tcW w:type="dxa" w:w="4680"/>
            <w:tcMar>
              <w:top w:type="dxa" w:w="100"/>
              <w:left w:type="dxa" w:w="140"/>
              <w:bottom w:type="dxa" w:w="100"/>
              <w:right w:type="dxa" w:w="140"/>
            </w:tcMar>
            <w:vAlign w:val="top"/>
          </w:tcPr>
          <w:p>
            <w:r>
              <w:rPr>
                <w:sz w:val="18"/>
                <w:szCs w:val="18"/>
              </w:rPr>
              <w:t xml:space="preserve">Référentiel aéroportuaire statique (1 777 aéroports français, issus d'OurAirports)</w:t>
            </w:r>
          </w:p>
        </w:tc>
        <w:tc>
          <w:tcPr>
            <w:tcW w:type="dxa" w:w="2246"/>
            <w:tcMar>
              <w:top w:type="dxa" w:w="100"/>
              <w:left w:type="dxa" w:w="140"/>
              <w:bottom w:type="dxa" w:w="100"/>
              <w:right w:type="dxa" w:w="140"/>
            </w:tcMar>
            <w:vAlign w:val="top"/>
          </w:tcPr>
          <w:p>
            <w:r>
              <w:rPr>
                <w:sz w:val="18"/>
                <w:szCs w:val="18"/>
              </w:rPr>
              <w:t xml:space="preserve">Connexion SQL native Dataiku</w:t>
            </w:r>
          </w:p>
        </w:tc>
      </w:tr>
      <w:tr>
        <w:tc>
          <w:tcPr>
            <w:tcW w:type="dxa" w:w="2433"/>
            <w:shd w:fill="EAF1F8" w:val="clear"/>
            <w:tcMar>
              <w:top w:type="dxa" w:w="100"/>
              <w:left w:type="dxa" w:w="140"/>
              <w:bottom w:type="dxa" w:w="100"/>
              <w:right w:type="dxa" w:w="140"/>
            </w:tcMar>
            <w:vAlign w:val="top"/>
          </w:tcPr>
          <w:p>
            <w:r>
              <w:rPr>
                <w:sz w:val="18"/>
                <w:szCs w:val="18"/>
              </w:rPr>
              <w:t xml:space="preserve">Google Sheets</w:t>
            </w:r>
          </w:p>
        </w:tc>
        <w:tc>
          <w:tcPr>
            <w:tcW w:type="dxa" w:w="4680"/>
            <w:shd w:fill="EAF1F8" w:val="clear"/>
            <w:tcMar>
              <w:top w:type="dxa" w:w="100"/>
              <w:left w:type="dxa" w:w="140"/>
              <w:bottom w:type="dxa" w:w="100"/>
              <w:right w:type="dxa" w:w="140"/>
            </w:tcMar>
            <w:vAlign w:val="top"/>
          </w:tcPr>
          <w:p>
            <w:r>
              <w:rPr>
                <w:sz w:val="18"/>
                <w:szCs w:val="18"/>
              </w:rPr>
              <w:t xml:space="preserve">Liste des aéroports suivis et leur priorité, saisie manuelle</w:t>
            </w:r>
          </w:p>
        </w:tc>
        <w:tc>
          <w:tcPr>
            <w:tcW w:type="dxa" w:w="2246"/>
            <w:shd w:fill="EAF1F8" w:val="clear"/>
            <w:tcMar>
              <w:top w:type="dxa" w:w="100"/>
              <w:left w:type="dxa" w:w="140"/>
              <w:bottom w:type="dxa" w:w="100"/>
              <w:right w:type="dxa" w:w="140"/>
            </w:tcMar>
            <w:vAlign w:val="top"/>
          </w:tcPr>
          <w:p>
            <w:r>
              <w:rPr>
                <w:sz w:val="18"/>
                <w:szCs w:val="18"/>
              </w:rPr>
              <w:t xml:space="preserve">Plugin Google Sheets (compte de service)</w:t>
            </w:r>
          </w:p>
        </w:tc>
      </w:tr>
      <w:tr>
        <w:tc>
          <w:tcPr>
            <w:tcW w:type="dxa" w:w="2433"/>
            <w:tcMar>
              <w:top w:type="dxa" w:w="100"/>
              <w:left w:type="dxa" w:w="140"/>
              <w:bottom w:type="dxa" w:w="100"/>
              <w:right w:type="dxa" w:w="140"/>
            </w:tcMar>
            <w:vAlign w:val="top"/>
          </w:tcPr>
          <w:p>
            <w:r>
              <w:rPr>
                <w:sz w:val="18"/>
                <w:szCs w:val="18"/>
              </w:rPr>
              <w:t xml:space="preserve">Aviationstack (API REST)</w:t>
            </w:r>
          </w:p>
        </w:tc>
        <w:tc>
          <w:tcPr>
            <w:tcW w:type="dxa" w:w="4680"/>
            <w:tcMar>
              <w:top w:type="dxa" w:w="100"/>
              <w:left w:type="dxa" w:w="140"/>
              <w:bottom w:type="dxa" w:w="100"/>
              <w:right w:type="dxa" w:w="140"/>
            </w:tcMar>
            <w:vAlign w:val="top"/>
          </w:tcPr>
          <w:p>
            <w:r>
              <w:rPr>
                <w:sz w:val="18"/>
                <w:szCs w:val="18"/>
              </w:rPr>
              <w:t xml:space="preserve">Statuts de vol en temps quasi réel par aéroport suivi</w:t>
            </w:r>
          </w:p>
        </w:tc>
        <w:tc>
          <w:tcPr>
            <w:tcW w:type="dxa" w:w="2246"/>
            <w:tcMar>
              <w:top w:type="dxa" w:w="100"/>
              <w:left w:type="dxa" w:w="140"/>
              <w:bottom w:type="dxa" w:w="100"/>
              <w:right w:type="dxa" w:w="140"/>
            </w:tcMar>
            <w:vAlign w:val="top"/>
          </w:tcPr>
          <w:p>
            <w:r>
              <w:rPr>
                <w:sz w:val="18"/>
                <w:szCs w:val="18"/>
              </w:rPr>
              <w:t xml:space="preserve">Recipe Python (appels HTTP)</w:t>
            </w:r>
          </w:p>
        </w:tc>
      </w:tr>
    </w:tbl>
    <w:p>
      <w:pPr>
        <w:spacing w:after="200"/>
      </w:pPr>
    </w:p>
    <w:p>
      <w:pPr>
        <w:pStyle w:val="Heading2"/>
        <w:spacing w:after="150" w:before="300"/>
      </w:pPr>
      <w:r>
        <w:rPr>
          <w:b/>
          <w:bCs/>
          <w:color w:val="2E75B6"/>
          <w:sz w:val="24"/>
          <w:szCs w:val="24"/>
        </w:rPr>
        <w:t xml:space="preserve">2.2 Schéma du flow</w:t>
      </w:r>
    </w:p>
    <w:p>
      <w:pPr>
        <w:spacing w:after="160" w:line="276"/>
      </w:pPr>
      <w:r>
        <w:rPr>
          <w:sz w:val="21"/>
          <w:szCs w:val="21"/>
        </w:rPr>
        <w:t xml:space="preserve">Représentation logique du flow Dataiku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20"/>
            </w:pPr>
            <w:r>
              <w:rPr>
                <w:rFonts w:ascii="Consolas" w:cs="Consolas" w:eastAsia="Consolas" w:hAnsi="Consolas"/>
                <w:sz w:val="18"/>
                <w:szCs w:val="18"/>
              </w:rPr>
              <w:t xml:space="preserve">Aviationstack API   ──┐</w:t>
            </w:r>
          </w:p>
          <w:p>
            <w:pPr>
              <w:spacing w:after="20"/>
            </w:pPr>
            <w:r>
              <w:rPr>
                <w:rFonts w:ascii="Consolas" w:cs="Consolas" w:eastAsia="Consolas" w:hAnsi="Consolas"/>
                <w:sz w:val="18"/>
                <w:szCs w:val="18"/>
              </w:rPr>
              <w:t xml:space="preserve">(statuts de vol par    │</w:t>
            </w:r>
          </w:p>
          <w:p>
            <w:pPr>
              <w:spacing w:after="20"/>
            </w:pPr>
            <w:r>
              <w:rPr>
                <w:rFonts w:ascii="Consolas" w:cs="Consolas" w:eastAsia="Consolas" w:hAnsi="Consolas"/>
                <w:sz w:val="18"/>
                <w:szCs w:val="18"/>
              </w:rPr>
              <w:t xml:space="preserve"> aéroport suivi)        │</w:t>
            </w:r>
          </w:p>
          <w:p>
            <w:pPr>
              <w:spacing w:after="20"/>
            </w:pPr>
            <w:r>
              <w:rPr>
                <w:rFonts w:ascii="Consolas" w:cs="Consolas" w:eastAsia="Consolas" w:hAnsi="Consolas"/>
                <w:sz w:val="18"/>
                <w:szCs w:val="18"/>
              </w:rPr>
              <w:t xml:space="preserve">                         ├──►  Flow Dataiku Cloud  ──►  Dashboard</w:t>
            </w:r>
          </w:p>
          <w:p>
            <w:pPr>
              <w:spacing w:after="20"/>
            </w:pPr>
            <w:r>
              <w:rPr>
                <w:rFonts w:ascii="Consolas" w:cs="Consolas" w:eastAsia="Consolas" w:hAnsi="Consolas"/>
                <w:sz w:val="18"/>
                <w:szCs w:val="18"/>
              </w:rPr>
              <w:t xml:space="preserve">Neon Postgres           │      (jointure ICAO/IATA,      (vols par aéroport,</w:t>
            </w:r>
          </w:p>
          <w:p>
            <w:pPr>
              <w:spacing w:after="20"/>
            </w:pPr>
            <w:r>
              <w:rPr>
                <w:rFonts w:ascii="Consolas" w:cs="Consolas" w:eastAsia="Consolas" w:hAnsi="Consolas"/>
                <w:sz w:val="18"/>
                <w:szCs w:val="18"/>
              </w:rPr>
              <w:t xml:space="preserve">(référentiel aéroports, │       appels API, écriture)     répartition statuts)</w:t>
            </w:r>
          </w:p>
          <w:p>
            <w:pPr>
              <w:spacing w:after="20"/>
            </w:pPr>
            <w:r>
              <w:rPr>
                <w:rFonts w:ascii="Consolas" w:cs="Consolas" w:eastAsia="Consolas" w:hAnsi="Consolas"/>
                <w:sz w:val="18"/>
                <w:szCs w:val="18"/>
              </w:rPr>
              <w:t xml:space="preserve"> statique)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Google Sheets           │</w:t>
            </w:r>
          </w:p>
          <w:p>
            <w:pPr>
              <w:spacing w:after="20"/>
            </w:pPr>
            <w:r>
              <w:rPr>
                <w:rFonts w:ascii="Consolas" w:cs="Consolas" w:eastAsia="Consolas" w:hAnsi="Consolas"/>
                <w:sz w:val="18"/>
                <w:szCs w:val="18"/>
              </w:rPr>
              <w:t xml:space="preserve">(aéroports suivis,      ─┘</w:t>
            </w:r>
          </w:p>
          <w:p>
            <w:pPr>
              <w:spacing w:after="20"/>
            </w:pPr>
            <w:r>
              <w:rPr>
                <w:rFonts w:ascii="Consolas" w:cs="Consolas" w:eastAsia="Consolas" w:hAnsi="Consolas"/>
                <w:sz w:val="18"/>
                <w:szCs w:val="18"/>
              </w:rPr>
              <w:t xml:space="preserve"> saisie manuelle)</w:t>
            </w:r>
          </w:p>
        </w:tc>
      </w:tr>
    </w:tbl>
    <w:p>
      <w:pPr>
        <w:spacing w:after="200"/>
      </w:pPr>
    </w:p>
    <w:p>
      <w:pPr>
        <w:pStyle w:val="Heading2"/>
        <w:spacing w:after="150" w:before="300"/>
      </w:pPr>
      <w:r>
        <w:rPr>
          <w:b/>
          <w:bCs/>
          <w:color w:val="2E75B6"/>
          <w:sz w:val="24"/>
          <w:szCs w:val="24"/>
        </w:rPr>
        <w:t xml:space="preserve">2.3 Justification des choix</w:t>
      </w:r>
    </w:p>
    <w:p>
      <w:pPr>
        <w:spacing w:after="160" w:line="276"/>
      </w:pPr>
      <w:r>
        <w:rPr>
          <w:sz w:val="21"/>
          <w:szCs w:val="21"/>
        </w:rPr>
        <w:t xml:space="preserve">Cette architecture à trois sources n'est pas la seule possible pour ce cas d'usage : c'est un choix délibéré pour tester dans un seul scénario cohérent les trois modes de connexion visés par le POC (base distante, API, fichier collaboratif), plutôt que de dépendre d'une seule source. La séparation entre le référentiel statique (Neon) et la donnée qui évolue (Aviationstack) reflète une distinction classique en architecture BI entre données de dimension et données de fait.</w:t>
      </w:r>
    </w:p>
    <w:p>
      <w:pPr>
        <w:pStyle w:val="Heading1"/>
        <w:spacing w:after="200" w:before="400"/>
      </w:pPr>
      <w:r>
        <w:rPr>
          <w:b/>
          <w:bCs/>
          <w:color w:val="1F3864"/>
          <w:sz w:val="30"/>
          <w:szCs w:val="30"/>
        </w:rPr>
        <w:t xml:space="preserve">3. Mise en œuvre détaillée</w:t>
      </w:r>
    </w:p>
    <w:p>
      <w:pPr>
        <w:pStyle w:val="Heading2"/>
        <w:spacing w:after="150" w:before="300"/>
      </w:pPr>
      <w:r>
        <w:rPr>
          <w:b/>
          <w:bCs/>
          <w:color w:val="2E75B6"/>
          <w:sz w:val="24"/>
          <w:szCs w:val="24"/>
        </w:rPr>
        <w:t xml:space="preserve">3.1 Base de données Neon (PostgreSQL)</w:t>
      </w:r>
    </w:p>
    <w:p>
      <w:pPr>
        <w:spacing w:after="160" w:line="276"/>
      </w:pPr>
      <w:r>
        <w:rPr>
          <w:sz w:val="21"/>
          <w:szCs w:val="21"/>
        </w:rPr>
        <w:t xml:space="preserve">Neon est un service PostgreSQL serverless gratuit, accessible via une chaîne de connexion standard depuis n'importe quel poste de travail — sans installation locale, contrairement à une base auto-hébergée.</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995"/>
        <w:gridCol w:w="6364"/>
      </w:tblGrid>
      <w:tr>
        <w:tc>
          <w:tcPr>
            <w:tcW w:type="dxa" w:w="2995"/>
            <w:shd w:fill="EAF1F8" w:val="clear"/>
            <w:tcMar>
              <w:top w:type="dxa" w:w="100"/>
              <w:left w:type="dxa" w:w="140"/>
              <w:bottom w:type="dxa" w:w="100"/>
              <w:right w:type="dxa" w:w="140"/>
            </w:tcMar>
            <w:vAlign w:val="center"/>
          </w:tcPr>
          <w:p>
            <w:r>
              <w:rPr>
                <w:b/>
                <w:bCs/>
                <w:sz w:val="19"/>
                <w:szCs w:val="19"/>
              </w:rPr>
              <w:t xml:space="preserve">Hébergeur</w:t>
            </w:r>
          </w:p>
        </w:tc>
        <w:tc>
          <w:tcPr>
            <w:tcW w:type="dxa" w:w="6364"/>
            <w:tcMar>
              <w:top w:type="dxa" w:w="100"/>
              <w:left w:type="dxa" w:w="140"/>
              <w:bottom w:type="dxa" w:w="100"/>
              <w:right w:type="dxa" w:w="140"/>
            </w:tcMar>
            <w:vAlign w:val="center"/>
          </w:tcPr>
          <w:p>
            <w:r>
              <w:rPr>
                <w:sz w:val="19"/>
                <w:szCs w:val="19"/>
              </w:rPr>
              <w:t xml:space="preserve">Neon (neon.tech), région eu-central-1</w:t>
            </w:r>
          </w:p>
        </w:tc>
      </w:tr>
      <w:tr>
        <w:tc>
          <w:tcPr>
            <w:tcW w:type="dxa" w:w="2995"/>
            <w:shd w:fill="FFFFFF" w:val="clear"/>
            <w:tcMar>
              <w:top w:type="dxa" w:w="100"/>
              <w:left w:type="dxa" w:w="140"/>
              <w:bottom w:type="dxa" w:w="100"/>
              <w:right w:type="dxa" w:w="140"/>
            </w:tcMar>
            <w:vAlign w:val="center"/>
          </w:tcPr>
          <w:p>
            <w:r>
              <w:rPr>
                <w:b/>
                <w:bCs/>
                <w:sz w:val="19"/>
                <w:szCs w:val="19"/>
              </w:rPr>
              <w:t xml:space="preserve">Table principale</w:t>
            </w:r>
          </w:p>
        </w:tc>
        <w:tc>
          <w:tcPr>
            <w:tcW w:type="dxa" w:w="6364"/>
            <w:tcMar>
              <w:top w:type="dxa" w:w="100"/>
              <w:left w:type="dxa" w:w="140"/>
              <w:bottom w:type="dxa" w:w="100"/>
              <w:right w:type="dxa" w:w="140"/>
            </w:tcMar>
            <w:vAlign w:val="center"/>
          </w:tcPr>
          <w:p>
            <w:r>
              <w:rPr>
                <w:sz w:val="19"/>
                <w:szCs w:val="19"/>
              </w:rPr>
              <w:t xml:space="preserve">aeroports (1 777 lignes, référentiel France)</w:t>
            </w:r>
          </w:p>
        </w:tc>
      </w:tr>
      <w:tr>
        <w:tc>
          <w:tcPr>
            <w:tcW w:type="dxa" w:w="2995"/>
            <w:shd w:fill="FFFFFF" w:val="clear"/>
            <w:tcMar>
              <w:top w:type="dxa" w:w="100"/>
              <w:left w:type="dxa" w:w="140"/>
              <w:bottom w:type="dxa" w:w="100"/>
              <w:right w:type="dxa" w:w="140"/>
            </w:tcMar>
            <w:vAlign w:val="center"/>
          </w:tcPr>
          <w:p>
            <w:r>
              <w:rPr>
                <w:b/>
                <w:bCs/>
                <w:sz w:val="19"/>
                <w:szCs w:val="19"/>
              </w:rPr>
              <w:t xml:space="preserve">Source des données</w:t>
            </w:r>
          </w:p>
        </w:tc>
        <w:tc>
          <w:tcPr>
            <w:tcW w:type="dxa" w:w="6364"/>
            <w:tcMar>
              <w:top w:type="dxa" w:w="100"/>
              <w:left w:type="dxa" w:w="140"/>
              <w:bottom w:type="dxa" w:w="100"/>
              <w:right w:type="dxa" w:w="140"/>
            </w:tcMar>
            <w:vAlign w:val="center"/>
          </w:tcPr>
          <w:p>
            <w:r>
              <w:rPr>
                <w:sz w:val="19"/>
                <w:szCs w:val="19"/>
              </w:rPr>
              <w:t xml:space="preserve">OurAirports (airports.csv), domaine public</w:t>
            </w:r>
          </w:p>
        </w:tc>
      </w:tr>
      <w:tr>
        <w:tc>
          <w:tcPr>
            <w:tcW w:type="dxa" w:w="2995"/>
            <w:shd w:fill="FFFFFF" w:val="clear"/>
            <w:tcMar>
              <w:top w:type="dxa" w:w="100"/>
              <w:left w:type="dxa" w:w="140"/>
              <w:bottom w:type="dxa" w:w="100"/>
              <w:right w:type="dxa" w:w="140"/>
            </w:tcMar>
            <w:vAlign w:val="center"/>
          </w:tcPr>
          <w:p>
            <w:r>
              <w:rPr>
                <w:b/>
                <w:bCs/>
                <w:sz w:val="19"/>
                <w:szCs w:val="19"/>
              </w:rPr>
              <w:t xml:space="preserve">Script de chargement</w:t>
            </w:r>
          </w:p>
        </w:tc>
        <w:tc>
          <w:tcPr>
            <w:tcW w:type="dxa" w:w="6364"/>
            <w:tcMar>
              <w:top w:type="dxa" w:w="100"/>
              <w:left w:type="dxa" w:w="140"/>
              <w:bottom w:type="dxa" w:w="100"/>
              <w:right w:type="dxa" w:w="140"/>
            </w:tcMar>
            <w:vAlign w:val="center"/>
          </w:tcPr>
          <w:p>
            <w:r>
              <w:rPr>
                <w:sz w:val="19"/>
                <w:szCs w:val="19"/>
              </w:rPr>
              <w:t xml:space="preserve">scripts/load_ourairports.py</w:t>
            </w:r>
          </w:p>
        </w:tc>
      </w:tr>
      <w:tr>
        <w:tc>
          <w:tcPr>
            <w:tcW w:type="dxa" w:w="2995"/>
            <w:shd w:fill="FFFFFF" w:val="clear"/>
            <w:tcMar>
              <w:top w:type="dxa" w:w="100"/>
              <w:left w:type="dxa" w:w="140"/>
              <w:bottom w:type="dxa" w:w="100"/>
              <w:right w:type="dxa" w:w="140"/>
            </w:tcMar>
            <w:vAlign w:val="center"/>
          </w:tcPr>
          <w:p>
            <w:r>
              <w:rPr>
                <w:b/>
                <w:bCs/>
                <w:sz w:val="19"/>
                <w:szCs w:val="19"/>
              </w:rPr>
              <w:t xml:space="preserve">Connexion Dataiku</w:t>
            </w:r>
          </w:p>
        </w:tc>
        <w:tc>
          <w:tcPr>
            <w:tcW w:type="dxa" w:w="6364"/>
            <w:tcMar>
              <w:top w:type="dxa" w:w="100"/>
              <w:left w:type="dxa" w:w="140"/>
              <w:bottom w:type="dxa" w:w="100"/>
              <w:right w:type="dxa" w:w="140"/>
            </w:tcMar>
            <w:vAlign w:val="center"/>
          </w:tcPr>
          <w:p>
            <w:r>
              <w:rPr>
                <w:sz w:val="19"/>
                <w:szCs w:val="19"/>
              </w:rPr>
              <w:t xml:space="preserve">neon_aeroports (connexion PostgreSQL native)</w:t>
            </w:r>
          </w:p>
        </w:tc>
      </w:tr>
    </w:tbl>
    <w:p>
      <w:pPr>
        <w:spacing w:after="200"/>
      </w:pPr>
    </w:p>
    <w:p>
      <w:pPr>
        <w:spacing w:after="160" w:line="276"/>
      </w:pPr>
      <w:r>
        <w:rPr>
          <w:sz w:val="21"/>
          <w:szCs w:val="21"/>
        </w:rPr>
        <w:t xml:space="preserve">Schéma de la table (extrait de sql/schema.sql)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20"/>
            </w:pPr>
            <w:r>
              <w:rPr>
                <w:rFonts w:ascii="Consolas" w:cs="Consolas" w:eastAsia="Consolas" w:hAnsi="Consolas"/>
                <w:sz w:val="18"/>
                <w:szCs w:val="18"/>
              </w:rPr>
              <w:t xml:space="preserve">CREATE TABLE IF NOT EXISTS aeroports (</w:t>
            </w:r>
          </w:p>
          <w:p>
            <w:pPr>
              <w:spacing w:after="20"/>
            </w:pPr>
            <w:r>
              <w:rPr>
                <w:rFonts w:ascii="Consolas" w:cs="Consolas" w:eastAsia="Consolas" w:hAnsi="Consolas"/>
                <w:sz w:val="18"/>
                <w:szCs w:val="18"/>
              </w:rPr>
              <w:t xml:space="preserve">    id              BIGINT PRIMARY KEY,</w:t>
            </w:r>
          </w:p>
          <w:p>
            <w:pPr>
              <w:spacing w:after="20"/>
            </w:pPr>
            <w:r>
              <w:rPr>
                <w:rFonts w:ascii="Consolas" w:cs="Consolas" w:eastAsia="Consolas" w:hAnsi="Consolas"/>
                <w:sz w:val="18"/>
                <w:szCs w:val="18"/>
              </w:rPr>
              <w:t xml:space="preserve">    ident           VARCHAR(10) NOT NULL,</w:t>
            </w:r>
          </w:p>
          <w:p>
            <w:pPr>
              <w:spacing w:after="20"/>
            </w:pPr>
            <w:r>
              <w:rPr>
                <w:rFonts w:ascii="Consolas" w:cs="Consolas" w:eastAsia="Consolas" w:hAnsi="Consolas"/>
                <w:sz w:val="18"/>
                <w:szCs w:val="18"/>
              </w:rPr>
              <w:t xml:space="preserve">    type            VARCHAR(30),</w:t>
            </w:r>
          </w:p>
          <w:p>
            <w:pPr>
              <w:spacing w:after="20"/>
            </w:pPr>
            <w:r>
              <w:rPr>
                <w:rFonts w:ascii="Consolas" w:cs="Consolas" w:eastAsia="Consolas" w:hAnsi="Consolas"/>
                <w:sz w:val="18"/>
                <w:szCs w:val="18"/>
              </w:rPr>
              <w:t xml:space="preserve">    name            TEXT,</w:t>
            </w:r>
          </w:p>
          <w:p>
            <w:pPr>
              <w:spacing w:after="20"/>
            </w:pPr>
            <w:r>
              <w:rPr>
                <w:rFonts w:ascii="Consolas" w:cs="Consolas" w:eastAsia="Consolas" w:hAnsi="Consolas"/>
                <w:sz w:val="18"/>
                <w:szCs w:val="18"/>
              </w:rPr>
              <w:t xml:space="preserve">    latitude_deg    DOUBLE PRECISION,</w:t>
            </w:r>
          </w:p>
          <w:p>
            <w:pPr>
              <w:spacing w:after="20"/>
            </w:pPr>
            <w:r>
              <w:rPr>
                <w:rFonts w:ascii="Consolas" w:cs="Consolas" w:eastAsia="Consolas" w:hAnsi="Consolas"/>
                <w:sz w:val="18"/>
                <w:szCs w:val="18"/>
              </w:rPr>
              <w:t xml:space="preserve">    longitude_deg   DOUBLE PRECISION,</w:t>
            </w:r>
          </w:p>
          <w:p>
            <w:pPr>
              <w:spacing w:after="20"/>
            </w:pPr>
            <w:r>
              <w:rPr>
                <w:rFonts w:ascii="Consolas" w:cs="Consolas" w:eastAsia="Consolas" w:hAnsi="Consolas"/>
                <w:sz w:val="18"/>
                <w:szCs w:val="18"/>
              </w:rPr>
              <w:t xml:space="preserve">    elevation_ft    INTEGER,</w:t>
            </w:r>
          </w:p>
          <w:p>
            <w:pPr>
              <w:spacing w:after="20"/>
            </w:pPr>
            <w:r>
              <w:rPr>
                <w:rFonts w:ascii="Consolas" w:cs="Consolas" w:eastAsia="Consolas" w:hAnsi="Consolas"/>
                <w:sz w:val="18"/>
                <w:szCs w:val="18"/>
              </w:rPr>
              <w:t xml:space="preserve">    continent       VARCHAR(5),</w:t>
            </w:r>
          </w:p>
          <w:p>
            <w:pPr>
              <w:spacing w:after="20"/>
            </w:pPr>
            <w:r>
              <w:rPr>
                <w:rFonts w:ascii="Consolas" w:cs="Consolas" w:eastAsia="Consolas" w:hAnsi="Consolas"/>
                <w:sz w:val="18"/>
                <w:szCs w:val="18"/>
              </w:rPr>
              <w:t xml:space="preserve">    iso_country     VARCHAR(2),</w:t>
            </w:r>
          </w:p>
          <w:p>
            <w:pPr>
              <w:spacing w:after="20"/>
            </w:pPr>
            <w:r>
              <w:rPr>
                <w:rFonts w:ascii="Consolas" w:cs="Consolas" w:eastAsia="Consolas" w:hAnsi="Consolas"/>
                <w:sz w:val="18"/>
                <w:szCs w:val="18"/>
              </w:rPr>
              <w:t xml:space="preserve">    iso_region      VARCHAR(10),</w:t>
            </w:r>
          </w:p>
          <w:p>
            <w:pPr>
              <w:spacing w:after="20"/>
            </w:pPr>
            <w:r>
              <w:rPr>
                <w:rFonts w:ascii="Consolas" w:cs="Consolas" w:eastAsia="Consolas" w:hAnsi="Consolas"/>
                <w:sz w:val="18"/>
                <w:szCs w:val="18"/>
              </w:rPr>
              <w:t xml:space="preserve">    municipality    TEXT,</w:t>
            </w:r>
          </w:p>
          <w:p>
            <w:pPr>
              <w:spacing w:after="20"/>
            </w:pPr>
            <w:r>
              <w:rPr>
                <w:rFonts w:ascii="Consolas" w:cs="Consolas" w:eastAsia="Consolas" w:hAnsi="Consolas"/>
                <w:sz w:val="18"/>
                <w:szCs w:val="18"/>
              </w:rPr>
              <w:t xml:space="preserve">    icao_code       VARCHAR(4),</w:t>
            </w:r>
          </w:p>
          <w:p>
            <w:pPr>
              <w:spacing w:after="20"/>
            </w:pPr>
            <w:r>
              <w:rPr>
                <w:rFonts w:ascii="Consolas" w:cs="Consolas" w:eastAsia="Consolas" w:hAnsi="Consolas"/>
                <w:sz w:val="18"/>
                <w:szCs w:val="18"/>
              </w:rPr>
              <w:t xml:space="preserve">    iata_code       VARCHAR(3),</w:t>
            </w:r>
          </w:p>
          <w:p>
            <w:pPr>
              <w:spacing w:after="20"/>
            </w:pPr>
            <w:r>
              <w:rPr>
                <w:rFonts w:ascii="Consolas" w:cs="Consolas" w:eastAsia="Consolas" w:hAnsi="Consolas"/>
                <w:sz w:val="18"/>
                <w:szCs w:val="18"/>
              </w:rPr>
              <w:t xml:space="preserve">    gps_code        VARCHAR(10),</w:t>
            </w:r>
          </w:p>
          <w:p>
            <w:pPr>
              <w:spacing w:after="20"/>
            </w:pPr>
            <w:r>
              <w:rPr>
                <w:rFonts w:ascii="Consolas" w:cs="Consolas" w:eastAsia="Consolas" w:hAnsi="Consolas"/>
                <w:sz w:val="18"/>
                <w:szCs w:val="18"/>
              </w:rPr>
              <w:t xml:space="preserve">    local_code      VARCHAR(10)</w:t>
            </w:r>
          </w:p>
          <w:p>
            <w:pPr>
              <w:spacing w:after="20"/>
            </w:pPr>
            <w:r>
              <w:rPr>
                <w:rFonts w:ascii="Consolas" w:cs="Consolas" w:eastAsia="Consolas" w:hAnsi="Consolas"/>
                <w:sz w:val="18"/>
                <w:szCs w:val="18"/>
              </w:rPr>
              <w:t xml:space="preserve">);</w:t>
            </w:r>
          </w:p>
        </w:tc>
      </w:tr>
    </w:tbl>
    <w:p>
      <w:pPr>
        <w:spacing w:after="200"/>
      </w:pPr>
    </w:p>
    <w:p>
      <w:pPr>
        <w:spacing w:after="160" w:line="276"/>
      </w:pPr>
      <w:r>
        <w:rPr>
          <w:sz w:val="21"/>
          <w:szCs w:val="21"/>
        </w:rPr>
        <w:t xml:space="preserve">Une vue aeroports_fr, filtrée sur les grands et moyens aéroports français, complète le schéma pour limiter la volumétrie exploitée en aval.</w:t>
      </w:r>
    </w:p>
    <w:p>
      <w:pPr>
        <w:pStyle w:val="Heading2"/>
        <w:spacing w:after="150" w:before="300"/>
      </w:pPr>
      <w:r>
        <w:rPr>
          <w:b/>
          <w:bCs/>
          <w:color w:val="2E75B6"/>
          <w:sz w:val="24"/>
          <w:szCs w:val="24"/>
        </w:rPr>
        <w:t xml:space="preserve">3.2 Google Sheets — saisie métier</w:t>
      </w:r>
    </w:p>
    <w:p>
      <w:pPr>
        <w:spacing w:after="160" w:line="276"/>
      </w:pPr>
      <w:r>
        <w:rPr>
          <w:sz w:val="21"/>
          <w:szCs w:val="21"/>
        </w:rPr>
        <w:t xml:space="preserve">La feuille aeroports_suivis simule un input métier maintenu manuellement : quels aéroports surveiller en priorité, sans dépendre d'un pipeline automatisé.</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1684"/>
        <w:gridCol w:w="1497"/>
        <w:gridCol w:w="2620"/>
        <w:gridCol w:w="3556"/>
      </w:tblGrid>
      <w:tr>
        <w:trPr>
          <w:tblHeader/>
        </w:trPr>
        <w:tc>
          <w:tcPr>
            <w:tcW w:type="dxa" w:w="1684"/>
            <w:shd w:fill="1F3864" w:val="clear"/>
            <w:tcMar>
              <w:top w:type="dxa" w:w="100"/>
              <w:left w:type="dxa" w:w="140"/>
              <w:bottom w:type="dxa" w:w="100"/>
              <w:right w:type="dxa" w:w="140"/>
            </w:tcMar>
            <w:vAlign w:val="center"/>
          </w:tcPr>
          <w:p>
            <w:r>
              <w:rPr>
                <w:b/>
                <w:bCs/>
                <w:color w:val="FFFFFF"/>
                <w:sz w:val="19"/>
                <w:szCs w:val="19"/>
              </w:rPr>
              <w:t xml:space="preserve">Colonne</w:t>
            </w:r>
          </w:p>
        </w:tc>
        <w:tc>
          <w:tcPr>
            <w:tcW w:type="dxa" w:w="1497"/>
            <w:shd w:fill="1F3864" w:val="clear"/>
            <w:tcMar>
              <w:top w:type="dxa" w:w="100"/>
              <w:left w:type="dxa" w:w="140"/>
              <w:bottom w:type="dxa" w:w="100"/>
              <w:right w:type="dxa" w:w="140"/>
            </w:tcMar>
            <w:vAlign w:val="center"/>
          </w:tcPr>
          <w:p>
            <w:r>
              <w:rPr>
                <w:b/>
                <w:bCs/>
                <w:color w:val="FFFFFF"/>
                <w:sz w:val="19"/>
                <w:szCs w:val="19"/>
              </w:rPr>
              <w:t xml:space="preserve">Type</w:t>
            </w:r>
          </w:p>
        </w:tc>
        <w:tc>
          <w:tcPr>
            <w:tcW w:type="dxa" w:w="2620"/>
            <w:shd w:fill="1F3864" w:val="clear"/>
            <w:tcMar>
              <w:top w:type="dxa" w:w="100"/>
              <w:left w:type="dxa" w:w="140"/>
              <w:bottom w:type="dxa" w:w="100"/>
              <w:right w:type="dxa" w:w="140"/>
            </w:tcMar>
            <w:vAlign w:val="center"/>
          </w:tcPr>
          <w:p>
            <w:r>
              <w:rPr>
                <w:b/>
                <w:bCs/>
                <w:color w:val="FFFFFF"/>
                <w:sz w:val="19"/>
                <w:szCs w:val="19"/>
              </w:rPr>
              <w:t xml:space="preserve">Exemple</w:t>
            </w:r>
          </w:p>
        </w:tc>
        <w:tc>
          <w:tcPr>
            <w:tcW w:type="dxa" w:w="3556"/>
            <w:shd w:fill="1F3864" w:val="clear"/>
            <w:tcMar>
              <w:top w:type="dxa" w:w="100"/>
              <w:left w:type="dxa" w:w="140"/>
              <w:bottom w:type="dxa" w:w="100"/>
              <w:right w:type="dxa" w:w="140"/>
            </w:tcMar>
            <w:vAlign w:val="center"/>
          </w:tcPr>
          <w:p>
            <w:r>
              <w:rPr>
                <w:b/>
                <w:bCs/>
                <w:color w:val="FFFFFF"/>
                <w:sz w:val="19"/>
                <w:szCs w:val="19"/>
              </w:rPr>
              <w:t xml:space="preserve">Description</w:t>
            </w:r>
          </w:p>
        </w:tc>
      </w:tr>
      <w:tr>
        <w:tc>
          <w:tcPr>
            <w:tcW w:type="dxa" w:w="1684"/>
            <w:tcMar>
              <w:top w:type="dxa" w:w="100"/>
              <w:left w:type="dxa" w:w="140"/>
              <w:bottom w:type="dxa" w:w="100"/>
              <w:right w:type="dxa" w:w="140"/>
            </w:tcMar>
            <w:vAlign w:val="top"/>
          </w:tcPr>
          <w:p>
            <w:r>
              <w:rPr>
                <w:sz w:val="18"/>
                <w:szCs w:val="18"/>
              </w:rPr>
              <w:t xml:space="preserve">code_icao</w:t>
            </w:r>
          </w:p>
        </w:tc>
        <w:tc>
          <w:tcPr>
            <w:tcW w:type="dxa" w:w="1497"/>
            <w:tcMar>
              <w:top w:type="dxa" w:w="100"/>
              <w:left w:type="dxa" w:w="140"/>
              <w:bottom w:type="dxa" w:w="100"/>
              <w:right w:type="dxa" w:w="140"/>
            </w:tcMar>
            <w:vAlign w:val="top"/>
          </w:tcPr>
          <w:p>
            <w:r>
              <w:rPr>
                <w:sz w:val="18"/>
                <w:szCs w:val="18"/>
              </w:rPr>
              <w:t xml:space="preserve">texte</w:t>
            </w:r>
          </w:p>
        </w:tc>
        <w:tc>
          <w:tcPr>
            <w:tcW w:type="dxa" w:w="2620"/>
            <w:tcMar>
              <w:top w:type="dxa" w:w="100"/>
              <w:left w:type="dxa" w:w="140"/>
              <w:bottom w:type="dxa" w:w="100"/>
              <w:right w:type="dxa" w:w="140"/>
            </w:tcMar>
            <w:vAlign w:val="top"/>
          </w:tcPr>
          <w:p>
            <w:r>
              <w:rPr>
                <w:sz w:val="18"/>
                <w:szCs w:val="18"/>
              </w:rPr>
              <w:t xml:space="preserve">LFPG</w:t>
            </w:r>
          </w:p>
        </w:tc>
        <w:tc>
          <w:tcPr>
            <w:tcW w:type="dxa" w:w="3556"/>
            <w:tcMar>
              <w:top w:type="dxa" w:w="100"/>
              <w:left w:type="dxa" w:w="140"/>
              <w:bottom w:type="dxa" w:w="100"/>
              <w:right w:type="dxa" w:w="140"/>
            </w:tcMar>
            <w:vAlign w:val="top"/>
          </w:tcPr>
          <w:p>
            <w:r>
              <w:rPr>
                <w:sz w:val="18"/>
                <w:szCs w:val="18"/>
              </w:rPr>
              <w:t xml:space="preserve">Code ICAO de l'aéroport (4 lettres)</w:t>
            </w:r>
          </w:p>
        </w:tc>
      </w:tr>
      <w:tr>
        <w:tc>
          <w:tcPr>
            <w:tcW w:type="dxa" w:w="1684"/>
            <w:shd w:fill="EAF1F8" w:val="clear"/>
            <w:tcMar>
              <w:top w:type="dxa" w:w="100"/>
              <w:left w:type="dxa" w:w="140"/>
              <w:bottom w:type="dxa" w:w="100"/>
              <w:right w:type="dxa" w:w="140"/>
            </w:tcMar>
            <w:vAlign w:val="top"/>
          </w:tcPr>
          <w:p>
            <w:r>
              <w:rPr>
                <w:sz w:val="18"/>
                <w:szCs w:val="18"/>
              </w:rPr>
              <w:t xml:space="preserve">nom</w:t>
            </w:r>
          </w:p>
        </w:tc>
        <w:tc>
          <w:tcPr>
            <w:tcW w:type="dxa" w:w="1497"/>
            <w:shd w:fill="EAF1F8" w:val="clear"/>
            <w:tcMar>
              <w:top w:type="dxa" w:w="100"/>
              <w:left w:type="dxa" w:w="140"/>
              <w:bottom w:type="dxa" w:w="100"/>
              <w:right w:type="dxa" w:w="140"/>
            </w:tcMar>
            <w:vAlign w:val="top"/>
          </w:tcPr>
          <w:p>
            <w:r>
              <w:rPr>
                <w:sz w:val="18"/>
                <w:szCs w:val="18"/>
              </w:rPr>
              <w:t xml:space="preserve">texte</w:t>
            </w:r>
          </w:p>
        </w:tc>
        <w:tc>
          <w:tcPr>
            <w:tcW w:type="dxa" w:w="2620"/>
            <w:shd w:fill="EAF1F8" w:val="clear"/>
            <w:tcMar>
              <w:top w:type="dxa" w:w="100"/>
              <w:left w:type="dxa" w:w="140"/>
              <w:bottom w:type="dxa" w:w="100"/>
              <w:right w:type="dxa" w:w="140"/>
            </w:tcMar>
            <w:vAlign w:val="top"/>
          </w:tcPr>
          <w:p>
            <w:r>
              <w:rPr>
                <w:sz w:val="18"/>
                <w:szCs w:val="18"/>
              </w:rPr>
              <w:t xml:space="preserve">Paris Charles de Gaulle</w:t>
            </w:r>
          </w:p>
        </w:tc>
        <w:tc>
          <w:tcPr>
            <w:tcW w:type="dxa" w:w="3556"/>
            <w:shd w:fill="EAF1F8" w:val="clear"/>
            <w:tcMar>
              <w:top w:type="dxa" w:w="100"/>
              <w:left w:type="dxa" w:w="140"/>
              <w:bottom w:type="dxa" w:w="100"/>
              <w:right w:type="dxa" w:w="140"/>
            </w:tcMar>
            <w:vAlign w:val="top"/>
          </w:tcPr>
          <w:p>
            <w:r>
              <w:rPr>
                <w:sz w:val="18"/>
                <w:szCs w:val="18"/>
              </w:rPr>
              <w:t xml:space="preserve">Libellé lisible</w:t>
            </w:r>
          </w:p>
        </w:tc>
      </w:tr>
      <w:tr>
        <w:tc>
          <w:tcPr>
            <w:tcW w:type="dxa" w:w="1684"/>
            <w:tcMar>
              <w:top w:type="dxa" w:w="100"/>
              <w:left w:type="dxa" w:w="140"/>
              <w:bottom w:type="dxa" w:w="100"/>
              <w:right w:type="dxa" w:w="140"/>
            </w:tcMar>
            <w:vAlign w:val="top"/>
          </w:tcPr>
          <w:p>
            <w:r>
              <w:rPr>
                <w:sz w:val="18"/>
                <w:szCs w:val="18"/>
              </w:rPr>
              <w:t xml:space="preserve">priorite</w:t>
            </w:r>
          </w:p>
        </w:tc>
        <w:tc>
          <w:tcPr>
            <w:tcW w:type="dxa" w:w="1497"/>
            <w:tcMar>
              <w:top w:type="dxa" w:w="100"/>
              <w:left w:type="dxa" w:w="140"/>
              <w:bottom w:type="dxa" w:w="100"/>
              <w:right w:type="dxa" w:w="140"/>
            </w:tcMar>
            <w:vAlign w:val="top"/>
          </w:tcPr>
          <w:p>
            <w:r>
              <w:rPr>
                <w:sz w:val="18"/>
                <w:szCs w:val="18"/>
              </w:rPr>
              <w:t xml:space="preserve">entier 1-3</w:t>
            </w:r>
          </w:p>
        </w:tc>
        <w:tc>
          <w:tcPr>
            <w:tcW w:type="dxa" w:w="2620"/>
            <w:tcMar>
              <w:top w:type="dxa" w:w="100"/>
              <w:left w:type="dxa" w:w="140"/>
              <w:bottom w:type="dxa" w:w="100"/>
              <w:right w:type="dxa" w:w="140"/>
            </w:tcMar>
            <w:vAlign w:val="top"/>
          </w:tcPr>
          <w:p>
            <w:r>
              <w:rPr>
                <w:sz w:val="18"/>
                <w:szCs w:val="18"/>
              </w:rPr>
              <w:t xml:space="preserve">1</w:t>
            </w:r>
          </w:p>
        </w:tc>
        <w:tc>
          <w:tcPr>
            <w:tcW w:type="dxa" w:w="3556"/>
            <w:tcMar>
              <w:top w:type="dxa" w:w="100"/>
              <w:left w:type="dxa" w:w="140"/>
              <w:bottom w:type="dxa" w:w="100"/>
              <w:right w:type="dxa" w:w="140"/>
            </w:tcMar>
            <w:vAlign w:val="top"/>
          </w:tcPr>
          <w:p>
            <w:r>
              <w:rPr>
                <w:sz w:val="18"/>
                <w:szCs w:val="18"/>
              </w:rPr>
              <w:t xml:space="preserve">1 = priorité haute</w:t>
            </w:r>
          </w:p>
        </w:tc>
      </w:tr>
      <w:tr>
        <w:tc>
          <w:tcPr>
            <w:tcW w:type="dxa" w:w="1684"/>
            <w:shd w:fill="EAF1F8" w:val="clear"/>
            <w:tcMar>
              <w:top w:type="dxa" w:w="100"/>
              <w:left w:type="dxa" w:w="140"/>
              <w:bottom w:type="dxa" w:w="100"/>
              <w:right w:type="dxa" w:w="140"/>
            </w:tcMar>
            <w:vAlign w:val="top"/>
          </w:tcPr>
          <w:p>
            <w:r>
              <w:rPr>
                <w:sz w:val="18"/>
                <w:szCs w:val="18"/>
              </w:rPr>
              <w:t xml:space="preserve">commentaire</w:t>
            </w:r>
          </w:p>
        </w:tc>
        <w:tc>
          <w:tcPr>
            <w:tcW w:type="dxa" w:w="1497"/>
            <w:shd w:fill="EAF1F8" w:val="clear"/>
            <w:tcMar>
              <w:top w:type="dxa" w:w="100"/>
              <w:left w:type="dxa" w:w="140"/>
              <w:bottom w:type="dxa" w:w="100"/>
              <w:right w:type="dxa" w:w="140"/>
            </w:tcMar>
            <w:vAlign w:val="top"/>
          </w:tcPr>
          <w:p>
            <w:r>
              <w:rPr>
                <w:sz w:val="18"/>
                <w:szCs w:val="18"/>
              </w:rPr>
              <w:t xml:space="preserve">texte</w:t>
            </w:r>
          </w:p>
        </w:tc>
        <w:tc>
          <w:tcPr>
            <w:tcW w:type="dxa" w:w="2620"/>
            <w:shd w:fill="EAF1F8" w:val="clear"/>
            <w:tcMar>
              <w:top w:type="dxa" w:w="100"/>
              <w:left w:type="dxa" w:w="140"/>
              <w:bottom w:type="dxa" w:w="100"/>
              <w:right w:type="dxa" w:w="140"/>
            </w:tcMar>
            <w:vAlign w:val="top"/>
          </w:tcPr>
          <w:p>
            <w:r>
              <w:rPr>
                <w:sz w:val="18"/>
                <w:szCs w:val="18"/>
              </w:rPr>
              <w:t xml:space="preserve">Suivi renforcé</w:t>
            </w:r>
          </w:p>
        </w:tc>
        <w:tc>
          <w:tcPr>
            <w:tcW w:type="dxa" w:w="3556"/>
            <w:shd w:fill="EAF1F8" w:val="clear"/>
            <w:tcMar>
              <w:top w:type="dxa" w:w="100"/>
              <w:left w:type="dxa" w:w="140"/>
              <w:bottom w:type="dxa" w:w="100"/>
              <w:right w:type="dxa" w:w="140"/>
            </w:tcMar>
            <w:vAlign w:val="top"/>
          </w:tcPr>
          <w:p>
            <w:r>
              <w:rPr>
                <w:sz w:val="18"/>
                <w:szCs w:val="18"/>
              </w:rPr>
              <w:t xml:space="preserve">Libre</w:t>
            </w:r>
          </w:p>
        </w:tc>
      </w:tr>
    </w:tbl>
    <w:p>
      <w:pPr>
        <w:spacing w:after="200"/>
      </w:pPr>
    </w:p>
    <w:p>
      <w:pPr>
        <w:spacing w:after="160" w:line="276"/>
      </w:pPr>
      <w:r>
        <w:rPr>
          <w:sz w:val="21"/>
          <w:szCs w:val="21"/>
        </w:rPr>
        <w:t xml:space="preserve">Connexion technique : plugin Google Sheets natif de Dataiku, authentification par compte de service Google Cloud (JSON de clé privée), preset nommé gsheets_aero. L'accès nécessite au préalable l'activation de l'API Google Sheets dans Google Cloud Console et le partage explicite du document avec l'adresse e-mail du compte de service.</w:t>
      </w:r>
    </w:p>
    <w:p>
      <w:pPr>
        <w:pStyle w:val="Heading2"/>
        <w:spacing w:after="150" w:before="300"/>
      </w:pPr>
      <w:r>
        <w:rPr>
          <w:b/>
          <w:bCs/>
          <w:color w:val="2E75B6"/>
          <w:sz w:val="24"/>
          <w:szCs w:val="24"/>
        </w:rPr>
        <w:t xml:space="preserve">3.3 API de statuts de vol : d'OpenSky à Aviationstack</w:t>
      </w:r>
    </w:p>
    <w:p>
      <w:pPr>
        <w:spacing w:after="160" w:line="276"/>
      </w:pPr>
      <w:r>
        <w:rPr>
          <w:sz w:val="21"/>
          <w:szCs w:val="21"/>
        </w:rPr>
        <w:t xml:space="preserve">La source initialement prévue pour les données "temps réel" était OpenSky Network (positions ADS-B). Cette source a dû être abandonnée en cours de projet — le détail du diagnostic est en section 4.1. Le pipeline final utilise Aviationstack, une API commerciale de statuts de vol.</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995"/>
        <w:gridCol w:w="6364"/>
      </w:tblGrid>
      <w:tr>
        <w:tc>
          <w:tcPr>
            <w:tcW w:type="dxa" w:w="2995"/>
            <w:shd w:fill="EAF1F8" w:val="clear"/>
            <w:tcMar>
              <w:top w:type="dxa" w:w="100"/>
              <w:left w:type="dxa" w:w="140"/>
              <w:bottom w:type="dxa" w:w="100"/>
              <w:right w:type="dxa" w:w="140"/>
            </w:tcMar>
            <w:vAlign w:val="center"/>
          </w:tcPr>
          <w:p>
            <w:r>
              <w:rPr>
                <w:b/>
                <w:bCs/>
                <w:sz w:val="19"/>
                <w:szCs w:val="19"/>
              </w:rPr>
              <w:t xml:space="preserve">Endpoint</w:t>
            </w:r>
          </w:p>
        </w:tc>
        <w:tc>
          <w:tcPr>
            <w:tcW w:type="dxa" w:w="6364"/>
            <w:tcMar>
              <w:top w:type="dxa" w:w="100"/>
              <w:left w:type="dxa" w:w="140"/>
              <w:bottom w:type="dxa" w:w="100"/>
              <w:right w:type="dxa" w:w="140"/>
            </w:tcMar>
            <w:vAlign w:val="center"/>
          </w:tcPr>
          <w:p>
            <w:r>
              <w:rPr>
                <w:sz w:val="19"/>
                <w:szCs w:val="19"/>
              </w:rPr>
              <w:t xml:space="preserve">https://api.aviationstack.com/v1/flights</w:t>
            </w:r>
          </w:p>
        </w:tc>
      </w:tr>
      <w:tr>
        <w:tc>
          <w:tcPr>
            <w:tcW w:type="dxa" w:w="2995"/>
            <w:shd w:fill="FFFFFF" w:val="clear"/>
            <w:tcMar>
              <w:top w:type="dxa" w:w="100"/>
              <w:left w:type="dxa" w:w="140"/>
              <w:bottom w:type="dxa" w:w="100"/>
              <w:right w:type="dxa" w:w="140"/>
            </w:tcMar>
            <w:vAlign w:val="center"/>
          </w:tcPr>
          <w:p>
            <w:r>
              <w:rPr>
                <w:b/>
                <w:bCs/>
                <w:sz w:val="19"/>
                <w:szCs w:val="19"/>
              </w:rPr>
              <w:t xml:space="preserve">Authentification</w:t>
            </w:r>
          </w:p>
        </w:tc>
        <w:tc>
          <w:tcPr>
            <w:tcW w:type="dxa" w:w="6364"/>
            <w:tcMar>
              <w:top w:type="dxa" w:w="100"/>
              <w:left w:type="dxa" w:w="140"/>
              <w:bottom w:type="dxa" w:w="100"/>
              <w:right w:type="dxa" w:w="140"/>
            </w:tcMar>
            <w:vAlign w:val="center"/>
          </w:tcPr>
          <w:p>
            <w:r>
              <w:rPr>
                <w:sz w:val="19"/>
                <w:szCs w:val="19"/>
              </w:rPr>
              <w:t xml:space="preserve">Clé API (access_key), plan gratuit</w:t>
            </w:r>
          </w:p>
        </w:tc>
      </w:tr>
      <w:tr>
        <w:tc>
          <w:tcPr>
            <w:tcW w:type="dxa" w:w="2995"/>
            <w:shd w:fill="FFFFFF" w:val="clear"/>
            <w:tcMar>
              <w:top w:type="dxa" w:w="100"/>
              <w:left w:type="dxa" w:w="140"/>
              <w:bottom w:type="dxa" w:w="100"/>
              <w:right w:type="dxa" w:w="140"/>
            </w:tcMar>
            <w:vAlign w:val="center"/>
          </w:tcPr>
          <w:p>
            <w:r>
              <w:rPr>
                <w:b/>
                <w:bCs/>
                <w:sz w:val="19"/>
                <w:szCs w:val="19"/>
              </w:rPr>
              <w:t xml:space="preserve">Quota</w:t>
            </w:r>
          </w:p>
        </w:tc>
        <w:tc>
          <w:tcPr>
            <w:tcW w:type="dxa" w:w="6364"/>
            <w:tcMar>
              <w:top w:type="dxa" w:w="100"/>
              <w:left w:type="dxa" w:w="140"/>
              <w:bottom w:type="dxa" w:w="100"/>
              <w:right w:type="dxa" w:w="140"/>
            </w:tcMar>
            <w:vAlign w:val="center"/>
          </w:tcPr>
          <w:p>
            <w:r>
              <w:rPr>
                <w:sz w:val="19"/>
                <w:szCs w:val="19"/>
              </w:rPr>
              <w:t xml:space="preserve">Entre 100 et 500 requêtes/mois selon le plan — à vérifier au cas par cas</w:t>
            </w:r>
          </w:p>
        </w:tc>
      </w:tr>
      <w:tr>
        <w:tc>
          <w:tcPr>
            <w:tcW w:type="dxa" w:w="2995"/>
            <w:shd w:fill="FFFFFF" w:val="clear"/>
            <w:tcMar>
              <w:top w:type="dxa" w:w="100"/>
              <w:left w:type="dxa" w:w="140"/>
              <w:bottom w:type="dxa" w:w="100"/>
              <w:right w:type="dxa" w:w="140"/>
            </w:tcMar>
            <w:vAlign w:val="center"/>
          </w:tcPr>
          <w:p>
            <w:r>
              <w:rPr>
                <w:b/>
                <w:bCs/>
                <w:sz w:val="19"/>
                <w:szCs w:val="19"/>
              </w:rPr>
              <w:t xml:space="preserve">Granularité interrogée</w:t>
            </w:r>
          </w:p>
        </w:tc>
        <w:tc>
          <w:tcPr>
            <w:tcW w:type="dxa" w:w="6364"/>
            <w:tcMar>
              <w:top w:type="dxa" w:w="100"/>
              <w:left w:type="dxa" w:w="140"/>
              <w:bottom w:type="dxa" w:w="100"/>
              <w:right w:type="dxa" w:w="140"/>
            </w:tcMar>
            <w:vAlign w:val="center"/>
          </w:tcPr>
          <w:p>
            <w:r>
              <w:rPr>
                <w:sz w:val="19"/>
                <w:szCs w:val="19"/>
              </w:rPr>
              <w:t xml:space="preserve">Une requête par aéroport suivi (dep_iata), soit 4 requêtes par exécution</w:t>
            </w:r>
          </w:p>
        </w:tc>
      </w:tr>
      <w:tr>
        <w:tc>
          <w:tcPr>
            <w:tcW w:type="dxa" w:w="2995"/>
            <w:shd w:fill="FFFFFF" w:val="clear"/>
            <w:tcMar>
              <w:top w:type="dxa" w:w="100"/>
              <w:left w:type="dxa" w:w="140"/>
              <w:bottom w:type="dxa" w:w="100"/>
              <w:right w:type="dxa" w:w="140"/>
            </w:tcMar>
            <w:vAlign w:val="center"/>
          </w:tcPr>
          <w:p>
            <w:r>
              <w:rPr>
                <w:b/>
                <w:bCs/>
                <w:sz w:val="19"/>
                <w:szCs w:val="19"/>
              </w:rPr>
              <w:t xml:space="preserve">Conversion nécessaire</w:t>
            </w:r>
          </w:p>
        </w:tc>
        <w:tc>
          <w:tcPr>
            <w:tcW w:type="dxa" w:w="6364"/>
            <w:tcMar>
              <w:top w:type="dxa" w:w="100"/>
              <w:left w:type="dxa" w:w="140"/>
              <w:bottom w:type="dxa" w:w="100"/>
              <w:right w:type="dxa" w:w="140"/>
            </w:tcMar>
            <w:vAlign w:val="center"/>
          </w:tcPr>
          <w:p>
            <w:r>
              <w:rPr>
                <w:sz w:val="19"/>
                <w:szCs w:val="19"/>
              </w:rPr>
              <w:t xml:space="preserve">ICAO (Google Sheets) → IATA (attendu par l'API), via jointure sur la table aeroports</w:t>
            </w:r>
          </w:p>
        </w:tc>
      </w:tr>
    </w:tbl>
    <w:p>
      <w:pPr>
        <w:spacing w:after="200"/>
      </w:pPr>
    </w:p>
    <w:p>
      <w:pPr>
        <w:spacing w:after="160" w:line="276"/>
      </w:pPr>
      <w:r>
        <w:rPr>
          <w:sz w:val="21"/>
          <w:szCs w:val="21"/>
        </w:rPr>
        <w:t xml:space="preserve">Extrait du recipe Python (compute_positions_avions), logique complète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20"/>
            </w:pPr>
            <w:r>
              <w:rPr>
                <w:rFonts w:ascii="Consolas" w:cs="Consolas" w:eastAsia="Consolas" w:hAnsi="Consolas"/>
                <w:sz w:val="18"/>
                <w:szCs w:val="18"/>
              </w:rPr>
              <w:t xml:space="preserve">import dataiku</w:t>
            </w:r>
          </w:p>
          <w:p>
            <w:pPr>
              <w:spacing w:after="20"/>
            </w:pPr>
            <w:r>
              <w:rPr>
                <w:rFonts w:ascii="Consolas" w:cs="Consolas" w:eastAsia="Consolas" w:hAnsi="Consolas"/>
                <w:sz w:val="18"/>
                <w:szCs w:val="18"/>
              </w:rPr>
              <w:t xml:space="preserve">import pandas as pd</w:t>
            </w:r>
          </w:p>
          <w:p>
            <w:pPr>
              <w:spacing w:after="20"/>
            </w:pPr>
            <w:r>
              <w:rPr>
                <w:rFonts w:ascii="Consolas" w:cs="Consolas" w:eastAsia="Consolas" w:hAnsi="Consolas"/>
                <w:sz w:val="18"/>
                <w:szCs w:val="18"/>
              </w:rPr>
              <w:t xml:space="preserve">import requests</w:t>
            </w:r>
          </w:p>
          <w:p>
            <w:pPr>
              <w:spacing w:after="20"/>
            </w:pPr>
            <w:r>
              <w:rPr>
                <w:rFonts w:ascii="Consolas" w:cs="Consolas" w:eastAsia="Consolas" w:hAnsi="Consolas"/>
                <w:sz w:val="18"/>
                <w:szCs w:val="18"/>
              </w:rPr>
              <w:t xml:space="preserve">import time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client = dataiku.api_client()</w:t>
            </w:r>
          </w:p>
          <w:p>
            <w:pPr>
              <w:spacing w:after="20"/>
            </w:pPr>
            <w:r>
              <w:rPr>
                <w:rFonts w:ascii="Consolas" w:cs="Consolas" w:eastAsia="Consolas" w:hAnsi="Consolas"/>
                <w:sz w:val="18"/>
                <w:szCs w:val="18"/>
              </w:rPr>
              <w:t xml:space="preserve">project = client.get_default_project()</w:t>
            </w:r>
          </w:p>
          <w:p>
            <w:pPr>
              <w:spacing w:after="20"/>
            </w:pPr>
            <w:r>
              <w:rPr>
                <w:rFonts w:ascii="Consolas" w:cs="Consolas" w:eastAsia="Consolas" w:hAnsi="Consolas"/>
                <w:sz w:val="18"/>
                <w:szCs w:val="18"/>
              </w:rPr>
              <w:t xml:space="preserve">variables = project.get_variables()</w:t>
            </w:r>
          </w:p>
          <w:p>
            <w:pPr>
              <w:spacing w:after="20"/>
            </w:pPr>
            <w:r>
              <w:rPr>
                <w:rFonts w:ascii="Consolas" w:cs="Consolas" w:eastAsia="Consolas" w:hAnsi="Consolas"/>
                <w:sz w:val="18"/>
                <w:szCs w:val="18"/>
              </w:rPr>
              <w:t xml:space="preserve">api_key = variables["local"]["aviationstack_api_key"]</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df_suivis = dataiku.Dataset("aeroports_suivis").get_dataframe()</w:t>
            </w:r>
          </w:p>
          <w:p>
            <w:pPr>
              <w:spacing w:after="20"/>
            </w:pPr>
            <w:r>
              <w:rPr>
                <w:rFonts w:ascii="Consolas" w:cs="Consolas" w:eastAsia="Consolas" w:hAnsi="Consolas"/>
                <w:sz w:val="18"/>
                <w:szCs w:val="18"/>
              </w:rPr>
              <w:t xml:space="preserve">df_aeroports = dataiku.Dataset("aeroports").get_dataframe()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df_join = df_suivis.merge(</w:t>
            </w:r>
          </w:p>
          <w:p>
            <w:pPr>
              <w:spacing w:after="20"/>
            </w:pPr>
            <w:r>
              <w:rPr>
                <w:rFonts w:ascii="Consolas" w:cs="Consolas" w:eastAsia="Consolas" w:hAnsi="Consolas"/>
                <w:sz w:val="18"/>
                <w:szCs w:val="18"/>
              </w:rPr>
              <w:t xml:space="preserve">    df_aeroports[["icao_code", "iata_code"]],</w:t>
            </w:r>
          </w:p>
          <w:p>
            <w:pPr>
              <w:spacing w:after="20"/>
            </w:pPr>
            <w:r>
              <w:rPr>
                <w:rFonts w:ascii="Consolas" w:cs="Consolas" w:eastAsia="Consolas" w:hAnsi="Consolas"/>
                <w:sz w:val="18"/>
                <w:szCs w:val="18"/>
              </w:rPr>
              <w:t xml:space="preserve">    left_on="code_icao", right_on="icao_code", how="left",</w:t>
            </w:r>
          </w:p>
          <w:p>
            <w:pPr>
              <w:spacing w:after="20"/>
            </w:pPr>
            <w:r>
              <w:rPr>
                <w:rFonts w:ascii="Consolas" w:cs="Consolas" w:eastAsia="Consolas" w:hAnsi="Consolas"/>
                <w:sz w:val="18"/>
                <w:szCs w:val="18"/>
              </w:rPr>
              <w:t xml:space="preserve">)</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BASE_URL = "https://api.aviationstack.com/v1/flights"</w:t>
            </w:r>
          </w:p>
          <w:p>
            <w:pPr>
              <w:spacing w:after="20"/>
            </w:pPr>
            <w:r>
              <w:rPr>
                <w:rFonts w:ascii="Consolas" w:cs="Consolas" w:eastAsia="Consolas" w:hAnsi="Consolas"/>
                <w:sz w:val="18"/>
                <w:szCs w:val="18"/>
              </w:rPr>
              <w:t xml:space="preserve">all_flights = []</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for _, row in df_join.iterrows():</w:t>
            </w:r>
          </w:p>
          <w:p>
            <w:pPr>
              <w:spacing w:after="20"/>
            </w:pPr>
            <w:r>
              <w:rPr>
                <w:rFonts w:ascii="Consolas" w:cs="Consolas" w:eastAsia="Consolas" w:hAnsi="Consolas"/>
                <w:sz w:val="18"/>
                <w:szCs w:val="18"/>
              </w:rPr>
              <w:t xml:space="preserve">    iata_code = row.get("iata_code")</w:t>
            </w:r>
          </w:p>
          <w:p>
            <w:pPr>
              <w:spacing w:after="20"/>
            </w:pPr>
            <w:r>
              <w:rPr>
                <w:rFonts w:ascii="Consolas" w:cs="Consolas" w:eastAsia="Consolas" w:hAnsi="Consolas"/>
                <w:sz w:val="18"/>
                <w:szCs w:val="18"/>
              </w:rPr>
              <w:t xml:space="preserve">    if pd.isna(iata_code) or not iata_code:</w:t>
            </w:r>
          </w:p>
          <w:p>
            <w:pPr>
              <w:spacing w:after="20"/>
            </w:pPr>
            <w:r>
              <w:rPr>
                <w:rFonts w:ascii="Consolas" w:cs="Consolas" w:eastAsia="Consolas" w:hAnsi="Consolas"/>
                <w:sz w:val="18"/>
                <w:szCs w:val="18"/>
              </w:rPr>
              <w:t xml:space="preserve">        continue</w:t>
            </w:r>
          </w:p>
          <w:p>
            <w:pPr>
              <w:spacing w:after="20"/>
            </w:pPr>
            <w:r>
              <w:rPr>
                <w:rFonts w:ascii="Consolas" w:cs="Consolas" w:eastAsia="Consolas" w:hAnsi="Consolas"/>
                <w:sz w:val="18"/>
                <w:szCs w:val="18"/>
              </w:rPr>
              <w:t xml:space="preserve">    params = {"access_key": api_key, "dep_iata": iata_code, "limit": 20}</w:t>
            </w:r>
          </w:p>
          <w:p>
            <w:pPr>
              <w:spacing w:after="20"/>
            </w:pPr>
            <w:r>
              <w:rPr>
                <w:rFonts w:ascii="Consolas" w:cs="Consolas" w:eastAsia="Consolas" w:hAnsi="Consolas"/>
                <w:sz w:val="18"/>
                <w:szCs w:val="18"/>
              </w:rPr>
              <w:t xml:space="preserve">    response = requests.get(BASE_URL, params=params, timeout=30)</w:t>
            </w:r>
          </w:p>
          <w:p>
            <w:pPr>
              <w:spacing w:after="20"/>
            </w:pPr>
            <w:r>
              <w:rPr>
                <w:rFonts w:ascii="Consolas" w:cs="Consolas" w:eastAsia="Consolas" w:hAnsi="Consolas"/>
                <w:sz w:val="18"/>
                <w:szCs w:val="18"/>
              </w:rPr>
              <w:t xml:space="preserve">    if response.status_code != 200:</w:t>
            </w:r>
          </w:p>
          <w:p>
            <w:pPr>
              <w:spacing w:after="20"/>
            </w:pPr>
            <w:r>
              <w:rPr>
                <w:rFonts w:ascii="Consolas" w:cs="Consolas" w:eastAsia="Consolas" w:hAnsi="Consolas"/>
                <w:sz w:val="18"/>
                <w:szCs w:val="18"/>
              </w:rPr>
              <w:t xml:space="preserve">        continue</w:t>
            </w:r>
          </w:p>
          <w:p>
            <w:pPr>
              <w:spacing w:after="20"/>
            </w:pPr>
            <w:r>
              <w:rPr>
                <w:rFonts w:ascii="Consolas" w:cs="Consolas" w:eastAsia="Consolas" w:hAnsi="Consolas"/>
                <w:sz w:val="18"/>
                <w:szCs w:val="18"/>
              </w:rPr>
              <w:t xml:space="preserve">    data = response.json()</w:t>
            </w:r>
          </w:p>
          <w:p>
            <w:pPr>
              <w:spacing w:after="20"/>
            </w:pPr>
            <w:r>
              <w:rPr>
                <w:rFonts w:ascii="Consolas" w:cs="Consolas" w:eastAsia="Consolas" w:hAnsi="Consolas"/>
                <w:sz w:val="18"/>
                <w:szCs w:val="18"/>
              </w:rPr>
              <w:t xml:space="preserve">    flights = data.get("data") or []</w:t>
            </w:r>
          </w:p>
          <w:p>
            <w:pPr>
              <w:spacing w:after="20"/>
            </w:pPr>
            <w:r>
              <w:rPr>
                <w:rFonts w:ascii="Consolas" w:cs="Consolas" w:eastAsia="Consolas" w:hAnsi="Consolas"/>
                <w:sz w:val="18"/>
                <w:szCs w:val="18"/>
              </w:rPr>
              <w:t xml:space="preserve">    for f in flights:</w:t>
            </w:r>
          </w:p>
          <w:p>
            <w:pPr>
              <w:spacing w:after="20"/>
            </w:pPr>
            <w:r>
              <w:rPr>
                <w:rFonts w:ascii="Consolas" w:cs="Consolas" w:eastAsia="Consolas" w:hAnsi="Consolas"/>
                <w:sz w:val="18"/>
                <w:szCs w:val="18"/>
              </w:rPr>
              <w:t xml:space="preserve">        f["aeroport_suivi_icao"] = row["code_icao"]</w:t>
            </w:r>
          </w:p>
          <w:p>
            <w:pPr>
              <w:spacing w:after="20"/>
            </w:pPr>
            <w:r>
              <w:rPr>
                <w:rFonts w:ascii="Consolas" w:cs="Consolas" w:eastAsia="Consolas" w:hAnsi="Consolas"/>
                <w:sz w:val="18"/>
                <w:szCs w:val="18"/>
              </w:rPr>
              <w:t xml:space="preserve">        f["aeroport_suivi_iata"] = iata_code</w:t>
            </w:r>
          </w:p>
          <w:p>
            <w:pPr>
              <w:spacing w:after="20"/>
            </w:pPr>
            <w:r>
              <w:rPr>
                <w:rFonts w:ascii="Consolas" w:cs="Consolas" w:eastAsia="Consolas" w:hAnsi="Consolas"/>
                <w:sz w:val="18"/>
                <w:szCs w:val="18"/>
              </w:rPr>
              <w:t xml:space="preserve">    all_flights.extend(flights)</w:t>
            </w:r>
          </w:p>
          <w:p>
            <w:pPr>
              <w:spacing w:after="20"/>
            </w:pPr>
            <w:r>
              <w:rPr>
                <w:rFonts w:ascii="Consolas" w:cs="Consolas" w:eastAsia="Consolas" w:hAnsi="Consolas"/>
                <w:sz w:val="18"/>
                <w:szCs w:val="18"/>
              </w:rPr>
              <w:t xml:space="preserve">    time.sleep(2)  # espacement pour éviter le rate limit</w:t>
            </w:r>
          </w:p>
          <w:p>
            <w:pPr>
              <w:spacing w:after="20"/>
            </w:pPr>
            <w:r>
              <w:rPr>
                <w:rFonts w:ascii="Consolas" w:cs="Consolas" w:eastAsia="Consolas" w:hAnsi="Consolas"/>
                <w:sz w:val="18"/>
                <w:szCs w:val="18"/>
              </w:rPr>
              <w:t xml:space="preserve"> </w:t>
            </w:r>
          </w:p>
          <w:p>
            <w:pPr>
              <w:spacing w:after="20"/>
            </w:pPr>
            <w:r>
              <w:rPr>
                <w:rFonts w:ascii="Consolas" w:cs="Consolas" w:eastAsia="Consolas" w:hAnsi="Consolas"/>
                <w:sz w:val="18"/>
                <w:szCs w:val="18"/>
              </w:rPr>
              <w:t xml:space="preserve">df = pd.json_normalize(all_flights) if all_flights else pd.DataFrame()</w:t>
            </w:r>
          </w:p>
          <w:p>
            <w:pPr>
              <w:spacing w:after="20"/>
            </w:pPr>
            <w:r>
              <w:rPr>
                <w:rFonts w:ascii="Consolas" w:cs="Consolas" w:eastAsia="Consolas" w:hAnsi="Consolas"/>
                <w:sz w:val="18"/>
                <w:szCs w:val="18"/>
              </w:rPr>
              <w:t xml:space="preserve">dataiku.Dataset("positions_avions").write_with_schema(df)</w:t>
            </w:r>
          </w:p>
        </w:tc>
      </w:tr>
    </w:tbl>
    <w:p>
      <w:pPr>
        <w:pStyle w:val="Heading2"/>
        <w:spacing w:after="150" w:before="300"/>
      </w:pPr>
      <w:r>
        <w:rPr>
          <w:b/>
          <w:bCs/>
          <w:color w:val="2E75B6"/>
          <w:sz w:val="24"/>
          <w:szCs w:val="24"/>
        </w:rPr>
        <w:t xml:space="preserve">3.4 Flow Dataiku</w:t>
      </w:r>
    </w:p>
    <w:p>
      <w:pPr>
        <w:spacing w:after="160" w:line="276"/>
      </w:pPr>
      <w:r>
        <w:rPr>
          <w:sz w:val="21"/>
          <w:szCs w:val="21"/>
        </w:rPr>
        <w:t xml:space="preserve">Le flow enchaîne les éléments suivants :</w:t>
      </w:r>
    </w:p>
    <w:p>
      <w:pPr>
        <w:pStyle w:val="ListParagraph"/>
        <w:numPr>
          <w:ilvl w:val="0"/>
          <w:numId w:val="2"/>
        </w:numPr>
        <w:spacing w:after="80"/>
      </w:pPr>
      <w:r>
        <w:rPr>
          <w:sz w:val="21"/>
          <w:szCs w:val="21"/>
        </w:rPr>
        <w:t xml:space="preserve">Dataset aeroports — connexion SQL vers Neon (table complète).</w:t>
      </w:r>
    </w:p>
    <w:p>
      <w:pPr>
        <w:pStyle w:val="ListParagraph"/>
        <w:numPr>
          <w:ilvl w:val="0"/>
          <w:numId w:val="2"/>
        </w:numPr>
        <w:spacing w:after="80"/>
      </w:pPr>
      <w:r>
        <w:rPr>
          <w:sz w:val="21"/>
          <w:szCs w:val="21"/>
        </w:rPr>
        <w:t xml:space="preserve">Dataset aeroports_suivis — connexion Google Sheets (plugin natif).</w:t>
      </w:r>
    </w:p>
    <w:p>
      <w:pPr>
        <w:pStyle w:val="ListParagraph"/>
        <w:numPr>
          <w:ilvl w:val="0"/>
          <w:numId w:val="2"/>
        </w:numPr>
        <w:spacing w:after="80"/>
      </w:pPr>
      <w:r>
        <w:rPr>
          <w:sz w:val="21"/>
          <w:szCs w:val="21"/>
        </w:rPr>
        <w:t xml:space="preserve">Recipe Python compute_positions_avions — entrées : aeroports et aeroports_suivis (déclarées explicitement, requis en exécution containerisée) ; sortie : positions_avions.</w:t>
      </w:r>
    </w:p>
    <w:p>
      <w:pPr>
        <w:pStyle w:val="ListParagraph"/>
        <w:numPr>
          <w:ilvl w:val="0"/>
          <w:numId w:val="2"/>
        </w:numPr>
        <w:spacing w:after="80"/>
      </w:pPr>
      <w:r>
        <w:rPr>
          <w:sz w:val="21"/>
          <w:szCs w:val="21"/>
        </w:rPr>
        <w:t xml:space="preserve">Dataset positions_avions — résultat consolidé, base des visualisations.</w:t>
      </w:r>
    </w:p>
    <w:p>
      <w:pPr>
        <w:spacing w:after="100"/>
      </w:pPr>
    </w:p>
    <w:p>
      <w:pPr>
        <w:spacing w:after="160" w:line="276"/>
      </w:pPr>
      <w:r>
        <w:rPr>
          <w:sz w:val="21"/>
          <w:szCs w:val="21"/>
        </w:rPr>
        <w:t xml:space="preserve">Point d'implémentation notable : en exécution containerisée (Kubernetes), un recipe Python ne peut lire un dataset que s'il est explicitement déclaré en entrée ou sortie du recipe — un appel direct à dataiku.Dataset("nom") sur un dataset non déclaré lève une exception, même si ce dataset existe dans le projet.</w:t>
      </w:r>
    </w:p>
    <w:p>
      <w:pPr>
        <w:pStyle w:val="Heading2"/>
        <w:spacing w:after="150" w:before="300"/>
      </w:pPr>
      <w:r>
        <w:rPr>
          <w:b/>
          <w:bCs/>
          <w:color w:val="2E75B6"/>
          <w:sz w:val="24"/>
          <w:szCs w:val="24"/>
        </w:rPr>
        <w:t xml:space="preserve">3.5 Dashboard</w:t>
      </w:r>
    </w:p>
    <w:p>
      <w:pPr>
        <w:spacing w:after="160" w:line="276"/>
      </w:pPr>
      <w:r>
        <w:rPr>
          <w:sz w:val="21"/>
          <w:szCs w:val="21"/>
        </w:rPr>
        <w:t xml:space="preserve">Le dashboard Suivi trafic aérien expose deux visualisations construites sur positions_avions, publiées depuis l'onglet Charts du dataset :</w:t>
      </w:r>
    </w:p>
    <w:p>
      <w:pPr>
        <w:pStyle w:val="ListParagraph"/>
        <w:numPr>
          <w:ilvl w:val="0"/>
          <w:numId w:val="2"/>
        </w:numPr>
        <w:spacing w:after="80"/>
      </w:pPr>
      <w:r>
        <w:rPr>
          <w:sz w:val="21"/>
          <w:szCs w:val="21"/>
        </w:rPr>
        <w:t xml:space="preserve">Vols par aéroport suivi — histogramme, axe X = aeroport_suivi_icao, valeur = nombre d'enregistrements.</w:t>
      </w:r>
    </w:p>
    <w:p>
      <w:pPr>
        <w:pStyle w:val="ListParagraph"/>
        <w:numPr>
          <w:ilvl w:val="0"/>
          <w:numId w:val="2"/>
        </w:numPr>
        <w:spacing w:after="80"/>
      </w:pPr>
      <w:r>
        <w:rPr>
          <w:sz w:val="21"/>
          <w:szCs w:val="21"/>
        </w:rPr>
        <w:t xml:space="preserve">Répartition par statut de vol — camembert, catégorie = flight_status.</w:t>
      </w:r>
    </w:p>
    <w:p>
      <w:pPr>
        <w:spacing w:after="160" w:line="276"/>
      </w:pPr>
      <w:r>
        <w:rPr>
          <w:sz w:val="21"/>
          <w:szCs w:val="21"/>
        </w:rPr>
        <w:t xml:space="preserve">Dans Dataiku, un graphique construit dans l'onglet Charts d'un dataset doit être publié explicitement (bouton Publish) pour devenir un Insight réutilisable sur un dashboard ; sans cette étape, il n'apparaît pas dans le sélecteur "insight existant".</w:t>
      </w:r>
    </w:p>
    <w:p>
      <w:pPr>
        <w:pStyle w:val="Heading2"/>
        <w:spacing w:after="150" w:before="300"/>
      </w:pPr>
      <w:r>
        <w:rPr>
          <w:b/>
          <w:bCs/>
          <w:color w:val="2E75B6"/>
          <w:sz w:val="24"/>
          <w:szCs w:val="24"/>
        </w:rPr>
        <w:t xml:space="preserve">3.6 Orchestration : scenario planifié</w:t>
      </w:r>
    </w:p>
    <w:p>
      <w:pPr>
        <w:spacing w:after="160" w:line="276"/>
      </w:pPr>
      <w:r>
        <w:rPr>
          <w:sz w:val="21"/>
          <w:szCs w:val="21"/>
        </w:rPr>
        <w:t xml:space="preserve">Un scenario Dataiku (refresh_quotidien) automatise le rafraîchissement des données :</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995"/>
        <w:gridCol w:w="6364"/>
      </w:tblGrid>
      <w:tr>
        <w:tc>
          <w:tcPr>
            <w:tcW w:type="dxa" w:w="2995"/>
            <w:shd w:fill="EAF1F8" w:val="clear"/>
            <w:tcMar>
              <w:top w:type="dxa" w:w="100"/>
              <w:left w:type="dxa" w:w="140"/>
              <w:bottom w:type="dxa" w:w="100"/>
              <w:right w:type="dxa" w:w="140"/>
            </w:tcMar>
            <w:vAlign w:val="center"/>
          </w:tcPr>
          <w:p>
            <w:r>
              <w:rPr>
                <w:b/>
                <w:bCs/>
                <w:sz w:val="19"/>
                <w:szCs w:val="19"/>
              </w:rPr>
              <w:t xml:space="preserve">Type</w:t>
            </w:r>
          </w:p>
        </w:tc>
        <w:tc>
          <w:tcPr>
            <w:tcW w:type="dxa" w:w="6364"/>
            <w:tcMar>
              <w:top w:type="dxa" w:w="100"/>
              <w:left w:type="dxa" w:w="140"/>
              <w:bottom w:type="dxa" w:w="100"/>
              <w:right w:type="dxa" w:w="140"/>
            </w:tcMar>
            <w:vAlign w:val="center"/>
          </w:tcPr>
          <w:p>
            <w:r>
              <w:rPr>
                <w:sz w:val="19"/>
                <w:szCs w:val="19"/>
              </w:rPr>
              <w:t xml:space="preserve">Scenario step-based</w:t>
            </w:r>
          </w:p>
        </w:tc>
      </w:tr>
      <w:tr>
        <w:tc>
          <w:tcPr>
            <w:tcW w:type="dxa" w:w="2995"/>
            <w:shd w:fill="FFFFFF" w:val="clear"/>
            <w:tcMar>
              <w:top w:type="dxa" w:w="100"/>
              <w:left w:type="dxa" w:w="140"/>
              <w:bottom w:type="dxa" w:w="100"/>
              <w:right w:type="dxa" w:w="140"/>
            </w:tcMar>
            <w:vAlign w:val="center"/>
          </w:tcPr>
          <w:p>
            <w:r>
              <w:rPr>
                <w:b/>
                <w:bCs/>
                <w:sz w:val="19"/>
                <w:szCs w:val="19"/>
              </w:rPr>
              <w:t xml:space="preserve">Step</w:t>
            </w:r>
          </w:p>
        </w:tc>
        <w:tc>
          <w:tcPr>
            <w:tcW w:type="dxa" w:w="6364"/>
            <w:tcMar>
              <w:top w:type="dxa" w:w="100"/>
              <w:left w:type="dxa" w:w="140"/>
              <w:bottom w:type="dxa" w:w="100"/>
              <w:right w:type="dxa" w:w="140"/>
            </w:tcMar>
            <w:vAlign w:val="center"/>
          </w:tcPr>
          <w:p>
            <w:r>
              <w:rPr>
                <w:sz w:val="19"/>
                <w:szCs w:val="19"/>
              </w:rPr>
              <w:t xml:space="preserve">Build de positions_avions</w:t>
            </w:r>
          </w:p>
        </w:tc>
      </w:tr>
      <w:tr>
        <w:tc>
          <w:tcPr>
            <w:tcW w:type="dxa" w:w="2995"/>
            <w:shd w:fill="FFFFFF" w:val="clear"/>
            <w:tcMar>
              <w:top w:type="dxa" w:w="100"/>
              <w:left w:type="dxa" w:w="140"/>
              <w:bottom w:type="dxa" w:w="100"/>
              <w:right w:type="dxa" w:w="140"/>
            </w:tcMar>
            <w:vAlign w:val="center"/>
          </w:tcPr>
          <w:p>
            <w:r>
              <w:rPr>
                <w:b/>
                <w:bCs/>
                <w:sz w:val="19"/>
                <w:szCs w:val="19"/>
              </w:rPr>
              <w:t xml:space="preserve">Gestion des dépendances</w:t>
            </w:r>
          </w:p>
        </w:tc>
        <w:tc>
          <w:tcPr>
            <w:tcW w:type="dxa" w:w="6364"/>
            <w:tcMar>
              <w:top w:type="dxa" w:w="100"/>
              <w:left w:type="dxa" w:w="140"/>
              <w:bottom w:type="dxa" w:w="100"/>
              <w:right w:type="dxa" w:w="140"/>
            </w:tcMar>
            <w:vAlign w:val="center"/>
          </w:tcPr>
          <w:p>
            <w:r>
              <w:rPr>
                <w:sz w:val="19"/>
                <w:szCs w:val="19"/>
              </w:rPr>
              <w:t xml:space="preserve">Forcer la construction (nécessaire : la source est une API externe, pas un dataset amont dont Dataiku peut détecter le changement)</w:t>
            </w:r>
          </w:p>
        </w:tc>
      </w:tr>
      <w:tr>
        <w:tc>
          <w:tcPr>
            <w:tcW w:type="dxa" w:w="2995"/>
            <w:shd w:fill="FFFFFF" w:val="clear"/>
            <w:tcMar>
              <w:top w:type="dxa" w:w="100"/>
              <w:left w:type="dxa" w:w="140"/>
              <w:bottom w:type="dxa" w:w="100"/>
              <w:right w:type="dxa" w:w="140"/>
            </w:tcMar>
            <w:vAlign w:val="center"/>
          </w:tcPr>
          <w:p>
            <w:r>
              <w:rPr>
                <w:b/>
                <w:bCs/>
                <w:sz w:val="19"/>
                <w:szCs w:val="19"/>
              </w:rPr>
              <w:t xml:space="preserve">Déclencheur</w:t>
            </w:r>
          </w:p>
        </w:tc>
        <w:tc>
          <w:tcPr>
            <w:tcW w:type="dxa" w:w="6364"/>
            <w:tcMar>
              <w:top w:type="dxa" w:w="100"/>
              <w:left w:type="dxa" w:w="140"/>
              <w:bottom w:type="dxa" w:w="100"/>
              <w:right w:type="dxa" w:w="140"/>
            </w:tcMar>
            <w:vAlign w:val="center"/>
          </w:tcPr>
          <w:p>
            <w:r>
              <w:rPr>
                <w:sz w:val="19"/>
                <w:szCs w:val="19"/>
              </w:rPr>
              <w:t xml:space="preserve">Temporel, quotidien</w:t>
            </w:r>
          </w:p>
        </w:tc>
      </w:tr>
      <w:tr>
        <w:tc>
          <w:tcPr>
            <w:tcW w:type="dxa" w:w="2995"/>
            <w:shd w:fill="FFFFFF" w:val="clear"/>
            <w:tcMar>
              <w:top w:type="dxa" w:w="100"/>
              <w:left w:type="dxa" w:w="140"/>
              <w:bottom w:type="dxa" w:w="100"/>
              <w:right w:type="dxa" w:w="140"/>
            </w:tcMar>
            <w:vAlign w:val="center"/>
          </w:tcPr>
          <w:p>
            <w:r>
              <w:rPr>
                <w:b/>
                <w:bCs/>
                <w:sz w:val="19"/>
                <w:szCs w:val="19"/>
              </w:rPr>
              <w:t xml:space="preserve">Auto-triggers</w:t>
            </w:r>
          </w:p>
        </w:tc>
        <w:tc>
          <w:tcPr>
            <w:tcW w:type="dxa" w:w="6364"/>
            <w:tcMar>
              <w:top w:type="dxa" w:w="100"/>
              <w:left w:type="dxa" w:w="140"/>
              <w:bottom w:type="dxa" w:w="100"/>
              <w:right w:type="dxa" w:w="140"/>
            </w:tcMar>
            <w:vAlign w:val="center"/>
          </w:tcPr>
          <w:p>
            <w:r>
              <w:rPr>
                <w:sz w:val="19"/>
                <w:szCs w:val="19"/>
              </w:rPr>
              <w:t xml:space="preserve">Activé</w:t>
            </w:r>
          </w:p>
        </w:tc>
      </w:tr>
    </w:tbl>
    <w:p>
      <w:pPr>
        <w:spacing w:after="200"/>
      </w:pPr>
    </w:p>
    <w:p>
      <w:pPr>
        <w:spacing w:after="160" w:line="276"/>
      </w:pPr>
      <w:r>
        <w:rPr>
          <w:sz w:val="21"/>
          <w:szCs w:val="21"/>
        </w:rPr>
        <w:t xml:space="preserve">Fréquence choisie en cohérence avec le quota Aviationstack : 4 requêtes par exécution, largement soutenable en quotidien sur un plan gratuit, alors qu'une fréquence de l'ordre de la minute viderait le quota mensuel en une seule journée.</w:t>
      </w:r>
    </w:p>
    <w:p>
      <w:pPr>
        <w:pStyle w:val="Heading1"/>
        <w:spacing w:after="200" w:before="400"/>
      </w:pPr>
      <w:r>
        <w:rPr>
          <w:b/>
          <w:bCs/>
          <w:color w:val="1F3864"/>
          <w:sz w:val="30"/>
          <w:szCs w:val="30"/>
        </w:rPr>
        <w:t xml:space="preserve">4. Difficultés rencontrées et résolutions</w:t>
      </w:r>
    </w:p>
    <w:p>
      <w:pPr>
        <w:spacing w:after="160" w:line="276"/>
      </w:pPr>
      <w:r>
        <w:rPr>
          <w:sz w:val="21"/>
          <w:szCs w:val="21"/>
        </w:rPr>
        <w:t xml:space="preserve">Cette section documente, dans l'ordre chronologique, les principaux blocages rencontrés durant le projet et la façon dont ils ont été diagnostiqués — une partie volontairement conservée car elle illustre la démarche de résolution autant que le résultat final.</w:t>
      </w:r>
    </w:p>
    <w:p>
      <w:pPr>
        <w:pStyle w:val="Heading2"/>
        <w:spacing w:after="150" w:before="300"/>
      </w:pPr>
      <w:r>
        <w:rPr>
          <w:b/>
          <w:bCs/>
          <w:color w:val="2E75B6"/>
          <w:sz w:val="24"/>
          <w:szCs w:val="24"/>
        </w:rPr>
        <w:t xml:space="preserve">4.1 Blocage réseau OpenSky (changement de source de données)</w:t>
      </w:r>
    </w:p>
    <w:p>
      <w:pPr>
        <w:spacing w:after="160" w:line="276"/>
      </w:pPr>
      <w:r>
        <w:rPr>
          <w:sz w:val="21"/>
          <w:szCs w:val="21"/>
        </w:rPr>
        <w:t xml:space="preserve">La source de données "temps réel" prévue initialement était OpenSky Network (positions ADS-B). Les appels depuis un recipe Python Dataiku échouaient systématiquement en timeout de connexion (30 secondes), aussi bien vers l'endpoint d'authentification OAuth2 que vers le domaine racine opensky-network.org.</w:t>
      </w:r>
    </w:p>
    <w:p>
      <w:pPr>
        <w:pStyle w:val="Heading3"/>
        <w:spacing w:after="100" w:before="200"/>
      </w:pPr>
      <w:r>
        <w:rPr>
          <w:b/>
          <w:bCs/>
          <w:color w:val="444444"/>
          <w:sz w:val="22"/>
          <w:szCs w:val="22"/>
        </w:rPr>
        <w:t xml:space="preserve">Démarche de diagnostic</w:t>
      </w:r>
    </w:p>
    <w:p>
      <w:pPr>
        <w:pStyle w:val="ListParagraph"/>
        <w:numPr>
          <w:ilvl w:val="0"/>
          <w:numId w:val="2"/>
        </w:numPr>
        <w:spacing w:after="80"/>
      </w:pPr>
      <w:r>
        <w:rPr>
          <w:sz w:val="21"/>
          <w:szCs w:val="21"/>
        </w:rPr>
        <w:t xml:space="preserve">Test d'un domaine tiers (api.frankfurter.dev) depuis le même recipe : réponse en moins d'une seconde → l'accès internet sortant des pods d'exécution Dataiku Cloud fonctionne, le blocage n'est pas général.</w:t>
      </w:r>
    </w:p>
    <w:p>
      <w:pPr>
        <w:pStyle w:val="ListParagraph"/>
        <w:numPr>
          <w:ilvl w:val="0"/>
          <w:numId w:val="2"/>
        </w:numPr>
        <w:spacing w:after="80"/>
      </w:pPr>
      <w:r>
        <w:rPr>
          <w:sz w:val="21"/>
          <w:szCs w:val="21"/>
        </w:rPr>
        <w:t xml:space="preserve">Test du domaine racine opensky-network.org (hors sous-domaine d'authentification) : timeout identique → le blocage concerne l'ensemble du domaine OpenSky, pas un endpoint isolé.</w:t>
      </w:r>
    </w:p>
    <w:p>
      <w:pPr>
        <w:pStyle w:val="ListParagraph"/>
        <w:numPr>
          <w:ilvl w:val="0"/>
          <w:numId w:val="2"/>
        </w:numPr>
        <w:spacing w:after="80"/>
      </w:pPr>
      <w:r>
        <w:rPr>
          <w:sz w:val="21"/>
          <w:szCs w:val="21"/>
        </w:rPr>
        <w:t xml:space="preserve">Consultation de la documentation officielle OpenSky : la politique anti-abus de la plateforme prévoit explicitement le blocage du trafic identifié comme provenant d'AWS et d'autres grands fournisseurs cloud.</w:t>
      </w:r>
    </w:p>
    <w:p>
      <w:pPr>
        <w:pStyle w:val="Heading3"/>
        <w:spacing w:after="100" w:before="200"/>
      </w:pPr>
      <w:r>
        <w:rPr>
          <w:b/>
          <w:bCs/>
          <w:color w:val="444444"/>
          <w:sz w:val="22"/>
          <w:szCs w:val="22"/>
        </w:rPr>
        <w:t xml:space="preserve">Cause identifiée</w:t>
      </w:r>
    </w:p>
    <w:p>
      <w:pPr>
        <w:spacing w:after="160" w:line="276"/>
      </w:pPr>
      <w:r>
        <w:rPr>
          <w:sz w:val="21"/>
          <w:szCs w:val="21"/>
        </w:rPr>
        <w:t xml:space="preserve">Dataiku Cloud héberge ses pods d'exécution sur AWS (visible dans les logs : rôles IAM, registre ECR eu-west-3). Le trafic sortant est donc identifié par OpenSky comme provenant d'un hyperscaler et bloqué par sa politique anti-abus — un choix assumé et documenté par OpenSky, qui ne prévoit pas de dérogation de type liste blanche pour ce genre d'usage.</w:t>
      </w:r>
    </w:p>
    <w:p>
      <w:pPr>
        <w:pStyle w:val="Heading3"/>
        <w:spacing w:after="100" w:before="200"/>
      </w:pPr>
      <w:r>
        <w:rPr>
          <w:b/>
          <w:bCs/>
          <w:color w:val="444444"/>
          <w:sz w:val="22"/>
          <w:szCs w:val="22"/>
        </w:rPr>
        <w:t xml:space="preserve">Décision</w:t>
      </w:r>
    </w:p>
    <w:p>
      <w:pPr>
        <w:spacing w:after="160" w:line="276"/>
      </w:pPr>
      <w:r>
        <w:rPr>
          <w:sz w:val="21"/>
          <w:szCs w:val="21"/>
        </w:rPr>
        <w:t xml:space="preserve">Pivot vers Aviationstack, une API commerciale construite sur une infrastructure cloud auto-scalable et sans politique de blocage équivalente. Ce changement a modifié la nature de la donnée collectée : statuts de vol par aéroport (départs/arrivées, horaires, retards) plutôt que positions ADS-B en direct (latitude/longitude/altitude), ce qui s'est avéré finalement plus cohérent avec l'architecture à trois sources du projet (exploitation directe de la liste d'aéroports suivis de Google Sheets).</w:t>
      </w:r>
    </w:p>
    <w:p>
      <w:pPr>
        <w:pStyle w:val="Heading2"/>
        <w:spacing w:after="150" w:before="300"/>
      </w:pPr>
      <w:r>
        <w:rPr>
          <w:b/>
          <w:bCs/>
          <w:color w:val="2E75B6"/>
          <w:sz w:val="24"/>
          <w:szCs w:val="24"/>
        </w:rPr>
        <w:t xml:space="preserve">4.2 Conflit DROP/CREATE avec une vue dépendante (Neon)</w:t>
      </w:r>
    </w:p>
    <w:p>
      <w:pPr>
        <w:spacing w:after="160" w:line="276"/>
      </w:pPr>
      <w:r>
        <w:rPr>
          <w:sz w:val="21"/>
          <w:szCs w:val="21"/>
        </w:rPr>
        <w:t xml:space="preserve">Le script de chargement initial utilisait pandas.DataFrame.to_sql(..., if_exists="replace"), qui exécute un DROP TABLE puis un CREATE TABLE. Cette opération échouait avec l'erreur PostgreSQL DependentObjectsStillExist, la vue aeroports_fr dépendant de la table aeroports.</w:t>
      </w:r>
    </w:p>
    <w:p>
      <w:pPr>
        <w:spacing w:after="160" w:line="276"/>
      </w:pPr>
      <w:r>
        <w:rPr>
          <w:sz w:val="21"/>
          <w:szCs w:val="21"/>
        </w:rPr>
        <w:t xml:space="preserve">Résolution : remplacement par un TRUNCATE TABLE suivi d'un to_sql(..., if_exists="append"), qui vide la table sans la supprimer et préserve la vue dépendante — évite également d'avoir à recréer la vue à chaque rechargement.</w:t>
      </w:r>
    </w:p>
    <w:p>
      <w:pPr>
        <w:pStyle w:val="Heading2"/>
        <w:spacing w:after="150" w:before="300"/>
      </w:pPr>
      <w:r>
        <w:rPr>
          <w:b/>
          <w:bCs/>
          <w:color w:val="2E75B6"/>
          <w:sz w:val="24"/>
          <w:szCs w:val="24"/>
        </w:rPr>
        <w:t xml:space="preserve">4.3 Permission manquante pour les environnements de code</w:t>
      </w:r>
    </w:p>
    <w:p>
      <w:pPr>
        <w:spacing w:after="160" w:line="276"/>
      </w:pPr>
      <w:r>
        <w:rPr>
          <w:sz w:val="21"/>
          <w:szCs w:val="21"/>
        </w:rPr>
        <w:t xml:space="preserve">L'installation du plugin Google Sheets nécessite un environnement de code dédié. La création de cet environnement était bloquée par un message de permission, alors même que l'utilisatrice était administratrice du seul espace du trial.</w:t>
      </w:r>
    </w:p>
    <w:p>
      <w:pPr>
        <w:spacing w:after="160" w:line="276"/>
      </w:pPr>
      <w:r>
        <w:rPr>
          <w:sz w:val="21"/>
          <w:szCs w:val="21"/>
        </w:rPr>
        <w:t xml:space="preserve">Cause : sur Dataiku Cloud, la fonctionnalité de création d'environnements de code personnalisés doit être explicitement activée au niveau du Launchpad (portail de gestion de l'espace cloud, distinct de l'interface projet), via le bouton "Enable custom code envs" dans la section Code Envs. Cette activation est un réglage au niveau de l'espace, séparé des permissions utilisateur classiques gérées dans Administration &gt; Security &gt; Groups.</w:t>
      </w:r>
    </w:p>
    <w:p>
      <w:pPr>
        <w:pStyle w:val="Heading2"/>
        <w:spacing w:after="150" w:before="300"/>
      </w:pPr>
      <w:r>
        <w:rPr>
          <w:b/>
          <w:bCs/>
          <w:color w:val="2E75B6"/>
          <w:sz w:val="24"/>
          <w:szCs w:val="24"/>
        </w:rPr>
        <w:t xml:space="preserve">4.4 Schéma de state vector OpenSky à nombre de colonnes variable</w:t>
      </w:r>
    </w:p>
    <w:p>
      <w:pPr>
        <w:spacing w:after="160" w:line="276"/>
      </w:pPr>
      <w:r>
        <w:rPr>
          <w:sz w:val="21"/>
          <w:szCs w:val="21"/>
        </w:rPr>
        <w:t xml:space="preserve">Avant le pivot vers Aviationstack, le premier recipe OpenSky provoquait une erreur pandas (18 columns passed, passed data had 17 columns) : le nombre de champs réellement renvoyés par l'API pour chaque vecteur d'état peut varier (le champ category n'est pas toujours présent).</w:t>
      </w:r>
    </w:p>
    <w:p>
      <w:pPr>
        <w:spacing w:after="160" w:line="276"/>
      </w:pPr>
      <w:r>
        <w:rPr>
          <w:sz w:val="21"/>
          <w:szCs w:val="21"/>
        </w:rPr>
        <w:t xml:space="preserve">Résolution : construction dynamique de la liste de colonnes passées à pandas.DataFrame, calquée sur la longueur réelle du premier enregistrement reçu plutôt que sur une liste figée de 18 colonnes.</w:t>
      </w:r>
    </w:p>
    <w:p>
      <w:pPr>
        <w:pStyle w:val="Heading2"/>
        <w:spacing w:after="150" w:before="300"/>
      </w:pPr>
      <w:r>
        <w:rPr>
          <w:b/>
          <w:bCs/>
          <w:color w:val="2E75B6"/>
          <w:sz w:val="24"/>
          <w:szCs w:val="24"/>
        </w:rPr>
        <w:t xml:space="preserve">4.5 Rate limiting Aviationstack sur des appels rapprochés</w:t>
      </w:r>
    </w:p>
    <w:p>
      <w:pPr>
        <w:spacing w:after="160" w:line="276"/>
      </w:pPr>
      <w:r>
        <w:rPr>
          <w:sz w:val="21"/>
          <w:szCs w:val="21"/>
        </w:rPr>
        <w:t xml:space="preserve">Une première version du recipe interrogeait les 4 aéroports suivis en boucle sans délai, ce qui produisait des réponses vides pour certains aéroports sans lever d'erreur explicite (la clause data.get("data") or [] absorbait silencieusement une réponse d'erreur).</w:t>
      </w:r>
    </w:p>
    <w:p>
      <w:pPr>
        <w:spacing w:after="160" w:line="276"/>
      </w:pPr>
      <w:r>
        <w:rPr>
          <w:sz w:val="21"/>
          <w:szCs w:val="21"/>
        </w:rPr>
        <w:t xml:space="preserve">Résolution : ajout d'un espacement de 2 secondes entre chaque appel API et d'un logging explicite du status code et du contenu de la réponse pour chaque aéroport interrogé, rendant les erreurs visibles dans les logs du job plutôt que silencieusement ignorées.</w:t>
      </w:r>
    </w:p>
    <w:p>
      <w:pPr>
        <w:pStyle w:val="Heading2"/>
        <w:spacing w:after="150" w:before="300"/>
      </w:pPr>
      <w:r>
        <w:rPr>
          <w:b/>
          <w:bCs/>
          <w:color w:val="2E75B6"/>
          <w:sz w:val="24"/>
          <w:szCs w:val="24"/>
        </w:rPr>
        <w:t xml:space="preserve">4.6 Déclaration explicite des datasets en entrée de recipe</w:t>
      </w:r>
    </w:p>
    <w:p>
      <w:pPr>
        <w:spacing w:after="160" w:line="276"/>
      </w:pPr>
      <w:r>
        <w:rPr>
          <w:sz w:val="21"/>
          <w:szCs w:val="21"/>
        </w:rPr>
        <w:t xml:space="preserve">Une évolution du recipe Python provoquait l'erreur Dataset aeroports_suivis cannot be used : declare it as input or output of your recipe : en exécution containerisée, tout dataset lu via dataiku.Dataset(...) doit être déclaré dans la configuration Input/Output du recipe, et pas seulement référencé dans le code.</w:t>
      </w:r>
    </w:p>
    <w:p>
      <w:pPr>
        <w:spacing w:after="160" w:line="276"/>
      </w:pPr>
      <w:r>
        <w:rPr>
          <w:sz w:val="21"/>
          <w:szCs w:val="21"/>
        </w:rPr>
        <w:t xml:space="preserve">Résolution : ajout explicite de aeroports_suivis et aeroports comme entrées du recipe dans l'interface Dataiku, en complément de la référence dans le code Python.</w:t>
      </w:r>
    </w:p>
    <w:p>
      <w:pPr>
        <w:pStyle w:val="Heading1"/>
        <w:spacing w:after="200" w:before="400"/>
      </w:pPr>
      <w:r>
        <w:rPr>
          <w:b/>
          <w:bCs/>
          <w:color w:val="1F3864"/>
          <w:sz w:val="30"/>
          <w:szCs w:val="30"/>
        </w:rPr>
        <w:t xml:space="preserve">5. Limites connues et points de vigilance</w:t>
      </w:r>
    </w:p>
    <w:tbl>
      <w:tblPr>
        <w:tblW w:type="dxa" w:w="9360"/>
        <w:tblBorders>
          <w:top w:val="single" w:color="D9D9D9" w:sz="4"/>
          <w:left w:val="single" w:color="D9D9D9" w:sz="4"/>
          <w:bottom w:val="single" w:color="D9D9D9" w:sz="4"/>
          <w:right w:val="single" w:color="D9D9D9" w:sz="4"/>
          <w:insideH w:val="single" w:color="D9D9D9" w:sz="4"/>
          <w:insideV w:val="single" w:color="D9D9D9" w:sz="4"/>
        </w:tblBorders>
      </w:tblPr>
      <w:tblGrid>
        <w:gridCol w:w="2620"/>
        <w:gridCol w:w="6739"/>
      </w:tblGrid>
      <w:tr>
        <w:trPr>
          <w:tblHeader/>
        </w:trPr>
        <w:tc>
          <w:tcPr>
            <w:tcW w:type="dxa" w:w="2620"/>
            <w:shd w:fill="1F3864" w:val="clear"/>
            <w:tcMar>
              <w:top w:type="dxa" w:w="100"/>
              <w:left w:type="dxa" w:w="140"/>
              <w:bottom w:type="dxa" w:w="100"/>
              <w:right w:type="dxa" w:w="140"/>
            </w:tcMar>
            <w:vAlign w:val="center"/>
          </w:tcPr>
          <w:p>
            <w:r>
              <w:rPr>
                <w:b/>
                <w:bCs/>
                <w:color w:val="FFFFFF"/>
                <w:sz w:val="19"/>
                <w:szCs w:val="19"/>
              </w:rPr>
              <w:t xml:space="preserve">Sujet</w:t>
            </w:r>
          </w:p>
        </w:tc>
        <w:tc>
          <w:tcPr>
            <w:tcW w:type="dxa" w:w="6739"/>
            <w:shd w:fill="1F3864" w:val="clear"/>
            <w:tcMar>
              <w:top w:type="dxa" w:w="100"/>
              <w:left w:type="dxa" w:w="140"/>
              <w:bottom w:type="dxa" w:w="100"/>
              <w:right w:type="dxa" w:w="140"/>
            </w:tcMar>
            <w:vAlign w:val="center"/>
          </w:tcPr>
          <w:p>
            <w:r>
              <w:rPr>
                <w:b/>
                <w:bCs/>
                <w:color w:val="FFFFFF"/>
                <w:sz w:val="19"/>
                <w:szCs w:val="19"/>
              </w:rPr>
              <w:t xml:space="preserve">Limite</w:t>
            </w:r>
          </w:p>
        </w:tc>
      </w:tr>
      <w:tr>
        <w:tc>
          <w:tcPr>
            <w:tcW w:type="dxa" w:w="2620"/>
            <w:tcMar>
              <w:top w:type="dxa" w:w="100"/>
              <w:left w:type="dxa" w:w="140"/>
              <w:bottom w:type="dxa" w:w="100"/>
              <w:right w:type="dxa" w:w="140"/>
            </w:tcMar>
            <w:vAlign w:val="top"/>
          </w:tcPr>
          <w:p>
            <w:r>
              <w:rPr>
                <w:sz w:val="18"/>
                <w:szCs w:val="18"/>
              </w:rPr>
              <w:t xml:space="preserve">Durée du trial</w:t>
            </w:r>
          </w:p>
        </w:tc>
        <w:tc>
          <w:tcPr>
            <w:tcW w:type="dxa" w:w="6739"/>
            <w:tcMar>
              <w:top w:type="dxa" w:w="100"/>
              <w:left w:type="dxa" w:w="140"/>
              <w:bottom w:type="dxa" w:w="100"/>
              <w:right w:type="dxa" w:w="140"/>
            </w:tcMar>
            <w:vAlign w:val="top"/>
          </w:tcPr>
          <w:p>
            <w:r>
              <w:rPr>
                <w:sz w:val="18"/>
                <w:szCs w:val="18"/>
              </w:rPr>
              <w:t xml:space="preserve">14 jours, extension possible sur demande au support, non garantie automatiquement</w:t>
            </w:r>
          </w:p>
        </w:tc>
      </w:tr>
      <w:tr>
        <w:tc>
          <w:tcPr>
            <w:tcW w:type="dxa" w:w="2620"/>
            <w:shd w:fill="EAF1F8" w:val="clear"/>
            <w:tcMar>
              <w:top w:type="dxa" w:w="100"/>
              <w:left w:type="dxa" w:w="140"/>
              <w:bottom w:type="dxa" w:w="100"/>
              <w:right w:type="dxa" w:w="140"/>
            </w:tcMar>
            <w:vAlign w:val="top"/>
          </w:tcPr>
          <w:p>
            <w:r>
              <w:rPr>
                <w:sz w:val="18"/>
                <w:szCs w:val="18"/>
              </w:rPr>
              <w:t xml:space="preserve">OpenSky</w:t>
            </w:r>
          </w:p>
        </w:tc>
        <w:tc>
          <w:tcPr>
            <w:tcW w:type="dxa" w:w="6739"/>
            <w:shd w:fill="EAF1F8" w:val="clear"/>
            <w:tcMar>
              <w:top w:type="dxa" w:w="100"/>
              <w:left w:type="dxa" w:w="140"/>
              <w:bottom w:type="dxa" w:w="100"/>
              <w:right w:type="dxa" w:w="140"/>
            </w:tcMar>
            <w:vAlign w:val="top"/>
          </w:tcPr>
          <w:p>
            <w:r>
              <w:rPr>
                <w:sz w:val="18"/>
                <w:szCs w:val="18"/>
              </w:rPr>
              <w:t xml:space="preserve">Usage non commercial uniquement et blocage explicite des IP d'hyperscalers — non exploitable depuis une plateforme cloud managée hébergée sur AWS/GCP/Azure</w:t>
            </w:r>
          </w:p>
        </w:tc>
      </w:tr>
      <w:tr>
        <w:tc>
          <w:tcPr>
            <w:tcW w:type="dxa" w:w="2620"/>
            <w:tcMar>
              <w:top w:type="dxa" w:w="100"/>
              <w:left w:type="dxa" w:w="140"/>
              <w:bottom w:type="dxa" w:w="100"/>
              <w:right w:type="dxa" w:w="140"/>
            </w:tcMar>
            <w:vAlign w:val="top"/>
          </w:tcPr>
          <w:p>
            <w:r>
              <w:rPr>
                <w:sz w:val="18"/>
                <w:szCs w:val="18"/>
              </w:rPr>
              <w:t xml:space="preserve">Aviationstack, plan gratuit</w:t>
            </w:r>
          </w:p>
        </w:tc>
        <w:tc>
          <w:tcPr>
            <w:tcW w:type="dxa" w:w="6739"/>
            <w:tcMar>
              <w:top w:type="dxa" w:w="100"/>
              <w:left w:type="dxa" w:w="140"/>
              <w:bottom w:type="dxa" w:w="100"/>
              <w:right w:type="dxa" w:w="140"/>
            </w:tcMar>
            <w:vAlign w:val="top"/>
          </w:tcPr>
          <w:p>
            <w:r>
              <w:rPr>
                <w:sz w:val="18"/>
                <w:szCs w:val="18"/>
              </w:rPr>
              <w:t xml:space="preserve">Quota mensuel restreint (100 à 500 requêtes selon la période/le plan) — incompatible avec un scenario à fréquence élevée</w:t>
            </w:r>
          </w:p>
        </w:tc>
      </w:tr>
      <w:tr>
        <w:tc>
          <w:tcPr>
            <w:tcW w:type="dxa" w:w="2620"/>
            <w:shd w:fill="EAF1F8" w:val="clear"/>
            <w:tcMar>
              <w:top w:type="dxa" w:w="100"/>
              <w:left w:type="dxa" w:w="140"/>
              <w:bottom w:type="dxa" w:w="100"/>
              <w:right w:type="dxa" w:w="140"/>
            </w:tcMar>
            <w:vAlign w:val="top"/>
          </w:tcPr>
          <w:p>
            <w:r>
              <w:rPr>
                <w:sz w:val="18"/>
                <w:szCs w:val="18"/>
              </w:rPr>
              <w:t xml:space="preserve">Git natif Dataiku vers GitHub</w:t>
            </w:r>
          </w:p>
        </w:tc>
        <w:tc>
          <w:tcPr>
            <w:tcW w:type="dxa" w:w="6739"/>
            <w:shd w:fill="EAF1F8" w:val="clear"/>
            <w:tcMar>
              <w:top w:type="dxa" w:w="100"/>
              <w:left w:type="dxa" w:w="140"/>
              <w:bottom w:type="dxa" w:w="100"/>
              <w:right w:type="dxa" w:w="140"/>
            </w:tcMar>
            <w:vAlign w:val="top"/>
          </w:tcPr>
          <w:p>
            <w:r>
              <w:rPr>
                <w:sz w:val="18"/>
                <w:szCs w:val="18"/>
              </w:rPr>
              <w:t xml:space="preserve">Seules les métadonnées du projet (structure du flow, recipes, réglages) sont poussées, pas les données physiques sous-jacentes</w:t>
            </w:r>
          </w:p>
        </w:tc>
      </w:tr>
      <w:tr>
        <w:tc>
          <w:tcPr>
            <w:tcW w:type="dxa" w:w="2620"/>
            <w:tcMar>
              <w:top w:type="dxa" w:w="100"/>
              <w:left w:type="dxa" w:w="140"/>
              <w:bottom w:type="dxa" w:w="100"/>
              <w:right w:type="dxa" w:w="140"/>
            </w:tcMar>
            <w:vAlign w:val="top"/>
          </w:tcPr>
          <w:p>
            <w:r>
              <w:rPr>
                <w:sz w:val="18"/>
                <w:szCs w:val="18"/>
              </w:rPr>
              <w:t xml:space="preserve">Neon, auto-suspend</w:t>
            </w:r>
          </w:p>
        </w:tc>
        <w:tc>
          <w:tcPr>
            <w:tcW w:type="dxa" w:w="6739"/>
            <w:tcMar>
              <w:top w:type="dxa" w:w="100"/>
              <w:left w:type="dxa" w:w="140"/>
              <w:bottom w:type="dxa" w:w="100"/>
              <w:right w:type="dxa" w:w="140"/>
            </w:tcMar>
            <w:vAlign w:val="top"/>
          </w:tcPr>
          <w:p>
            <w:r>
              <w:rPr>
                <w:sz w:val="18"/>
                <w:szCs w:val="18"/>
              </w:rPr>
              <w:t xml:space="preserve">Le compute se met en veille après inactivité ; léger délai de réveil (centaines de ms) sur la première requête après une pause, sans impact réel à la fréquence d'exécution retenue</w:t>
            </w:r>
          </w:p>
        </w:tc>
      </w:tr>
      <w:tr>
        <w:tc>
          <w:tcPr>
            <w:tcW w:type="dxa" w:w="2620"/>
            <w:shd w:fill="EAF1F8" w:val="clear"/>
            <w:tcMar>
              <w:top w:type="dxa" w:w="100"/>
              <w:left w:type="dxa" w:w="140"/>
              <w:bottom w:type="dxa" w:w="100"/>
              <w:right w:type="dxa" w:w="140"/>
            </w:tcMar>
            <w:vAlign w:val="top"/>
          </w:tcPr>
          <w:p>
            <w:r>
              <w:rPr>
                <w:sz w:val="18"/>
                <w:szCs w:val="18"/>
              </w:rPr>
              <w:t xml:space="preserve">Conversion ICAO/IATA</w:t>
            </w:r>
          </w:p>
        </w:tc>
        <w:tc>
          <w:tcPr>
            <w:tcW w:type="dxa" w:w="6739"/>
            <w:shd w:fill="EAF1F8" w:val="clear"/>
            <w:tcMar>
              <w:top w:type="dxa" w:w="100"/>
              <w:left w:type="dxa" w:w="140"/>
              <w:bottom w:type="dxa" w:w="100"/>
              <w:right w:type="dxa" w:w="140"/>
            </w:tcMar>
            <w:vAlign w:val="top"/>
          </w:tcPr>
          <w:p>
            <w:r>
              <w:rPr>
                <w:sz w:val="18"/>
                <w:szCs w:val="18"/>
              </w:rPr>
              <w:t xml:space="preserve">Dépendante de la complétude du champ iata_code dans le référentiel OurAirports ; les aéroports suivis sans code IATA connu sont silencieusement ignorés dans la boucle d'appel API</w:t>
            </w:r>
          </w:p>
        </w:tc>
      </w:tr>
    </w:tbl>
    <w:p>
      <w:pPr>
        <w:pStyle w:val="Heading1"/>
        <w:spacing w:after="200" w:before="400"/>
      </w:pPr>
      <w:r>
        <w:rPr>
          <w:b/>
          <w:bCs/>
          <w:color w:val="1F3864"/>
          <w:sz w:val="30"/>
          <w:szCs w:val="30"/>
        </w:rPr>
        <w:t xml:space="preserve">6. Pistes d'évolution</w:t>
      </w:r>
    </w:p>
    <w:p>
      <w:pPr>
        <w:pStyle w:val="ListParagraph"/>
        <w:numPr>
          <w:ilvl w:val="0"/>
          <w:numId w:val="2"/>
        </w:numPr>
        <w:spacing w:after="80"/>
      </w:pPr>
      <w:r>
        <w:rPr>
          <w:sz w:val="21"/>
          <w:szCs w:val="21"/>
        </w:rPr>
        <w:t xml:space="preserve">Historisation des relevés positions_avions (append plutôt qu'overwrite) pour permettre une analyse de tendance dans le temps.</w:t>
      </w:r>
    </w:p>
    <w:p>
      <w:pPr>
        <w:pStyle w:val="ListParagraph"/>
        <w:numPr>
          <w:ilvl w:val="0"/>
          <w:numId w:val="2"/>
        </w:numPr>
        <w:spacing w:after="80"/>
      </w:pPr>
      <w:r>
        <w:rPr>
          <w:sz w:val="21"/>
          <w:szCs w:val="21"/>
        </w:rPr>
        <w:t xml:space="preserve">Ajout d'une troisième dimension d'analyse (retards agrégés par compagnie ou par créneau horaire), déjà disponible dans les champs bruts renvoyés par Aviationstack mais non exploitée dans le dashboard actuel.</w:t>
      </w:r>
    </w:p>
    <w:p>
      <w:pPr>
        <w:pStyle w:val="ListParagraph"/>
        <w:numPr>
          <w:ilvl w:val="0"/>
          <w:numId w:val="2"/>
        </w:numPr>
        <w:spacing w:after="80"/>
      </w:pPr>
      <w:r>
        <w:rPr>
          <w:sz w:val="21"/>
          <w:szCs w:val="21"/>
        </w:rPr>
        <w:t xml:space="preserve">Automatisation du provisionnement de la base Neon (schéma + chargement initial) via un scenario Dataiku plutôt qu'un script exécuté manuellement en local.</w:t>
      </w:r>
    </w:p>
    <w:p>
      <w:pPr>
        <w:pStyle w:val="ListParagraph"/>
        <w:numPr>
          <w:ilvl w:val="0"/>
          <w:numId w:val="2"/>
        </w:numPr>
        <w:spacing w:after="80"/>
      </w:pPr>
      <w:r>
        <w:rPr>
          <w:sz w:val="21"/>
          <w:szCs w:val="21"/>
        </w:rPr>
        <w:t xml:space="preserve">Gestion explicite du renouvellement de quota Aviationstack (compteur d'appels côté Dataiku) pour anticiper un dépassement plutôt que de le découvrir en erreur d'exécution.</w:t>
      </w:r>
    </w:p>
    <w:p>
      <w:pPr>
        <w:pStyle w:val="Heading1"/>
        <w:spacing w:after="200" w:before="400"/>
      </w:pPr>
      <w:r>
        <w:rPr>
          <w:b/>
          <w:bCs/>
          <w:color w:val="1F3864"/>
          <w:sz w:val="30"/>
          <w:szCs w:val="30"/>
        </w:rPr>
        <w:t xml:space="preserve">7. Annexes</w:t>
      </w:r>
    </w:p>
    <w:p>
      <w:pPr>
        <w:pStyle w:val="Heading2"/>
        <w:spacing w:after="150" w:before="300"/>
      </w:pPr>
      <w:r>
        <w:rPr>
          <w:b/>
          <w:bCs/>
          <w:color w:val="2E75B6"/>
          <w:sz w:val="24"/>
          <w:szCs w:val="24"/>
        </w:rPr>
        <w:t xml:space="preserve">7.1 Structure du dépôt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2F2F2" w:val="clear"/>
            <w:tcMar>
              <w:top w:type="dxa" w:w="120"/>
              <w:left w:type="dxa" w:w="160"/>
              <w:bottom w:type="dxa" w:w="120"/>
              <w:right w:type="dxa" w:w="160"/>
            </w:tcMar>
          </w:tcPr>
          <w:p>
            <w:pPr>
              <w:spacing w:after="20"/>
            </w:pPr>
            <w:r>
              <w:rPr>
                <w:rFonts w:ascii="Consolas" w:cs="Consolas" w:eastAsia="Consolas" w:hAnsi="Consolas"/>
                <w:sz w:val="18"/>
                <w:szCs w:val="18"/>
              </w:rPr>
              <w:t xml:space="preserve">dataiku-aero-poc/</w:t>
            </w:r>
          </w:p>
          <w:p>
            <w:pPr>
              <w:spacing w:after="20"/>
            </w:pPr>
            <w:r>
              <w:rPr>
                <w:rFonts w:ascii="Consolas" w:cs="Consolas" w:eastAsia="Consolas" w:hAnsi="Consolas"/>
                <w:sz w:val="18"/>
                <w:szCs w:val="18"/>
              </w:rPr>
              <w:t xml:space="preserve">├── README.md</w:t>
            </w:r>
          </w:p>
          <w:p>
            <w:pPr>
              <w:spacing w:after="20"/>
            </w:pPr>
            <w:r>
              <w:rPr>
                <w:rFonts w:ascii="Consolas" w:cs="Consolas" w:eastAsia="Consolas" w:hAnsi="Consolas"/>
                <w:sz w:val="18"/>
                <w:szCs w:val="18"/>
              </w:rPr>
              <w:t xml:space="preserve">├── docs/</w:t>
            </w:r>
          </w:p>
          <w:p>
            <w:pPr>
              <w:spacing w:after="20"/>
            </w:pPr>
            <w:r>
              <w:rPr>
                <w:rFonts w:ascii="Consolas" w:cs="Consolas" w:eastAsia="Consolas" w:hAnsi="Consolas"/>
                <w:sz w:val="18"/>
                <w:szCs w:val="18"/>
              </w:rPr>
              <w:t xml:space="preserve">│   ├── architecture.md</w:t>
            </w:r>
          </w:p>
          <w:p>
            <w:pPr>
              <w:spacing w:after="20"/>
            </w:pPr>
            <w:r>
              <w:rPr>
                <w:rFonts w:ascii="Consolas" w:cs="Consolas" w:eastAsia="Consolas" w:hAnsi="Consolas"/>
                <w:sz w:val="18"/>
                <w:szCs w:val="18"/>
              </w:rPr>
              <w:t xml:space="preserve">│   ├── setup.md</w:t>
            </w:r>
          </w:p>
          <w:p>
            <w:pPr>
              <w:spacing w:after="20"/>
            </w:pPr>
            <w:r>
              <w:rPr>
                <w:rFonts w:ascii="Consolas" w:cs="Consolas" w:eastAsia="Consolas" w:hAnsi="Consolas"/>
                <w:sz w:val="18"/>
                <w:szCs w:val="18"/>
              </w:rPr>
              <w:t xml:space="preserve">│   ├── limites.md</w:t>
            </w:r>
          </w:p>
          <w:p>
            <w:pPr>
              <w:spacing w:after="20"/>
            </w:pPr>
            <w:r>
              <w:rPr>
                <w:rFonts w:ascii="Consolas" w:cs="Consolas" w:eastAsia="Consolas" w:hAnsi="Consolas"/>
                <w:sz w:val="18"/>
                <w:szCs w:val="18"/>
              </w:rPr>
              <w:t xml:space="preserve">│   └── google_sheet_template.md</w:t>
            </w:r>
          </w:p>
          <w:p>
            <w:pPr>
              <w:spacing w:after="20"/>
            </w:pPr>
            <w:r>
              <w:rPr>
                <w:rFonts w:ascii="Consolas" w:cs="Consolas" w:eastAsia="Consolas" w:hAnsi="Consolas"/>
                <w:sz w:val="18"/>
                <w:szCs w:val="18"/>
              </w:rPr>
              <w:t xml:space="preserve">├── sql/</w:t>
            </w:r>
          </w:p>
          <w:p>
            <w:pPr>
              <w:spacing w:after="20"/>
            </w:pPr>
            <w:r>
              <w:rPr>
                <w:rFonts w:ascii="Consolas" w:cs="Consolas" w:eastAsia="Consolas" w:hAnsi="Consolas"/>
                <w:sz w:val="18"/>
                <w:szCs w:val="18"/>
              </w:rPr>
              <w:t xml:space="preserve">│   └── schema.sql</w:t>
            </w:r>
          </w:p>
          <w:p>
            <w:pPr>
              <w:spacing w:after="20"/>
            </w:pPr>
            <w:r>
              <w:rPr>
                <w:rFonts w:ascii="Consolas" w:cs="Consolas" w:eastAsia="Consolas" w:hAnsi="Consolas"/>
                <w:sz w:val="18"/>
                <w:szCs w:val="18"/>
              </w:rPr>
              <w:t xml:space="preserve">├── scripts/</w:t>
            </w:r>
          </w:p>
          <w:p>
            <w:pPr>
              <w:spacing w:after="20"/>
            </w:pPr>
            <w:r>
              <w:rPr>
                <w:rFonts w:ascii="Consolas" w:cs="Consolas" w:eastAsia="Consolas" w:hAnsi="Consolas"/>
                <w:sz w:val="18"/>
                <w:szCs w:val="18"/>
              </w:rPr>
              <w:t xml:space="preserve">│   ├── load_ourairports.py</w:t>
            </w:r>
          </w:p>
          <w:p>
            <w:pPr>
              <w:spacing w:after="20"/>
            </w:pPr>
            <w:r>
              <w:rPr>
                <w:rFonts w:ascii="Consolas" w:cs="Consolas" w:eastAsia="Consolas" w:hAnsi="Consolas"/>
                <w:sz w:val="18"/>
                <w:szCs w:val="18"/>
              </w:rPr>
              <w:t xml:space="preserve">│   └── fetch_aviationstack.py</w:t>
            </w:r>
          </w:p>
          <w:p>
            <w:pPr>
              <w:spacing w:after="20"/>
            </w:pPr>
            <w:r>
              <w:rPr>
                <w:rFonts w:ascii="Consolas" w:cs="Consolas" w:eastAsia="Consolas" w:hAnsi="Consolas"/>
                <w:sz w:val="18"/>
                <w:szCs w:val="18"/>
              </w:rPr>
              <w:t xml:space="preserve">└── screenshots/</w:t>
            </w:r>
          </w:p>
        </w:tc>
      </w:tr>
    </w:tbl>
    <w:p>
      <w:pPr>
        <w:spacing w:after="200"/>
      </w:pPr>
    </w:p>
    <w:p>
      <w:pPr>
        <w:pStyle w:val="Heading2"/>
        <w:spacing w:after="150" w:before="300"/>
      </w:pPr>
      <w:r>
        <w:rPr>
          <w:b/>
          <w:bCs/>
          <w:color w:val="2E75B6"/>
          <w:sz w:val="24"/>
          <w:szCs w:val="24"/>
        </w:rPr>
        <w:t xml:space="preserve">7.2 Références</w:t>
      </w:r>
    </w:p>
    <w:p>
      <w:pPr>
        <w:pStyle w:val="ListParagraph"/>
        <w:numPr>
          <w:ilvl w:val="0"/>
          <w:numId w:val="2"/>
        </w:numPr>
        <w:spacing w:after="80"/>
      </w:pPr>
      <w:r>
        <w:rPr>
          <w:sz w:val="21"/>
          <w:szCs w:val="21"/>
        </w:rPr>
        <w:t xml:space="preserve">Dépôt du projet : github.com/DeboraMandon/dataiku-aero-poc</w:t>
      </w:r>
    </w:p>
    <w:p>
      <w:pPr>
        <w:pStyle w:val="ListParagraph"/>
        <w:numPr>
          <w:ilvl w:val="0"/>
          <w:numId w:val="2"/>
        </w:numPr>
        <w:spacing w:after="80"/>
      </w:pPr>
      <w:r>
        <w:rPr>
          <w:sz w:val="21"/>
          <w:szCs w:val="21"/>
        </w:rPr>
        <w:t xml:space="preserve">OurAirports (données ouvertes) : ourairports.com/data</w:t>
      </w:r>
    </w:p>
    <w:p>
      <w:pPr>
        <w:pStyle w:val="ListParagraph"/>
        <w:numPr>
          <w:ilvl w:val="0"/>
          <w:numId w:val="2"/>
        </w:numPr>
        <w:spacing w:after="80"/>
      </w:pPr>
      <w:r>
        <w:rPr>
          <w:sz w:val="21"/>
          <w:szCs w:val="21"/>
        </w:rPr>
        <w:t xml:space="preserve">Aviationstack (documentation API) : aviationstack.com/documentation</w:t>
      </w:r>
    </w:p>
    <w:p>
      <w:pPr>
        <w:pStyle w:val="ListParagraph"/>
        <w:numPr>
          <w:ilvl w:val="0"/>
          <w:numId w:val="2"/>
        </w:numPr>
        <w:spacing w:after="80"/>
      </w:pPr>
      <w:r>
        <w:rPr>
          <w:sz w:val="21"/>
          <w:szCs w:val="21"/>
        </w:rPr>
        <w:t xml:space="preserve">Neon (PostgreSQL serverless) : neon.tech</w:t>
      </w:r>
    </w:p>
    <w:p>
      <w:pPr>
        <w:pStyle w:val="ListParagraph"/>
        <w:numPr>
          <w:ilvl w:val="0"/>
          <w:numId w:val="2"/>
        </w:numPr>
        <w:spacing w:after="80"/>
      </w:pPr>
      <w:r>
        <w:rPr>
          <w:sz w:val="21"/>
          <w:szCs w:val="21"/>
        </w:rPr>
        <w:t xml:space="preserve">Documentation Dataiku — connexions Google Sheets : doc.dataiku.com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595959"/>
        <w:sz w:val="15"/>
        <w:szCs w:val="15"/>
      </w:rPr>
      <w:t xml:space="preserve">Observatoire du trafic aérien — Documentation technique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2026-07-24T09:52:55.293Z</dcterms:created>
  <dcterms:modified xsi:type="dcterms:W3CDTF">2026-07-24T09:52:55.294Z</dcterms:modified>
</cp:coreProperties>
</file>

<file path=docProps/custom.xml><?xml version="1.0" encoding="utf-8"?>
<Properties xmlns="http://schemas.openxmlformats.org/officeDocument/2006/custom-properties" xmlns:vt="http://schemas.openxmlformats.org/officeDocument/2006/docPropsVTypes"/>
</file>