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561A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EB61B6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611030D2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Guía3. Informe final Proyecto APT</w:t>
                              </w:r>
                            </w:p>
                            <w:p w14:paraId="452DE0DA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00EB61B6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611030D2" w14:textId="77777777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Guía3. Informe final Proyecto APT</w:t>
                        </w:r>
                      </w:p>
                      <w:p w14:paraId="452DE0DA" w14:textId="77777777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2E06F4D2" w14:textId="77777777" w:rsidR="001202BF" w:rsidRDefault="001202BF" w:rsidP="001202BF"/>
    <w:p w14:paraId="5BEAD9CE" w14:textId="77777777" w:rsidR="001202BF" w:rsidRDefault="001202BF" w:rsidP="001202BF"/>
    <w:p w14:paraId="5BB2928B" w14:textId="77777777" w:rsidR="001202BF" w:rsidRDefault="001202BF" w:rsidP="001202BF"/>
    <w:p w14:paraId="6CACCF1C" w14:textId="77777777" w:rsidR="001202BF" w:rsidRPr="00747ECB" w:rsidRDefault="001202BF" w:rsidP="001202BF"/>
    <w:p w14:paraId="3C926599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5750854F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58CDFAD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71702A9" w14:textId="77777777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</w:tbl>
    <w:p w14:paraId="3567B4F9" w14:textId="77777777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108455C7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696853A" w14:textId="77777777" w:rsidR="00050706" w:rsidRPr="00B4008E" w:rsidRDefault="00050706" w:rsidP="00E42375">
            <w:pPr>
              <w:rPr>
                <w:color w:val="1F3864" w:themeColor="accent1" w:themeShade="80"/>
              </w:rPr>
            </w:pPr>
            <w:r w:rsidRPr="00B4008E">
              <w:rPr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3781FAEE" w14:textId="77777777" w:rsidR="00050706" w:rsidRPr="00B4008E" w:rsidRDefault="00050706" w:rsidP="00E42375">
            <w:pPr>
              <w:spacing w:after="120"/>
              <w:rPr>
                <w:b/>
              </w:rPr>
            </w:pPr>
            <w:r>
              <w:rPr>
                <w:rFonts w:cs="Calibri"/>
              </w:rPr>
              <w:t xml:space="preserve">D-PAY 3.0: evolución hacia una arquitectura de pagos </w:t>
            </w:r>
            <w:proofErr w:type="spellStart"/>
            <w:r>
              <w:rPr>
                <w:rFonts w:cs="Calibri"/>
              </w:rPr>
              <w:t>multi-gateway</w:t>
            </w:r>
            <w:proofErr w:type="spellEnd"/>
            <w:r>
              <w:rPr>
                <w:rFonts w:cs="Calibri"/>
              </w:rPr>
              <w:t xml:space="preserve"> para el POS móvil de Dtemite.</w:t>
            </w:r>
          </w:p>
        </w:tc>
      </w:tr>
      <w:tr w:rsidR="00050706" w:rsidRPr="00B4008E" w14:paraId="328FE1B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3FDB7A8D" w14:textId="77777777" w:rsidR="00050706" w:rsidRPr="00B4008E" w:rsidRDefault="00050706" w:rsidP="00E42375">
            <w:pPr>
              <w:rPr>
                <w:color w:val="1F3864" w:themeColor="accent1" w:themeShade="80"/>
              </w:rPr>
            </w:pPr>
            <w:r w:rsidRPr="00B4008E">
              <w:rPr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61F94318" w14:textId="77777777" w:rsidR="00050706" w:rsidRPr="00B4008E" w:rsidRDefault="00050706" w:rsidP="00050706">
            <w:pPr>
              <w:spacing w:after="120"/>
              <w:rPr>
                <w:b/>
              </w:rPr>
            </w:pPr>
            <w:r>
              <w:rPr>
                <w:rFonts w:cs="Calibri"/>
              </w:rPr>
              <w:t>Desarrollo de software (aplicaciones móviles e integración de sistemas); gestión de proyectos informáticos; calidad de software. Redacción alineada al informe de la Fase 1 (Equipo D-PAY 3.0, 2026c); los nombres oficiales del plan de estudio de Ingeniería en Informática (PTY4614) quedan sujetos a confirmación del equipo contra ese plan.</w:t>
            </w:r>
          </w:p>
        </w:tc>
      </w:tr>
      <w:tr w:rsidR="00050706" w:rsidRPr="00B4008E" w14:paraId="7726585F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54D1DAFA" w14:textId="77777777" w:rsidR="00050706" w:rsidRPr="00B4008E" w:rsidRDefault="00050706" w:rsidP="00E42375">
            <w:pPr>
              <w:rPr>
                <w:color w:val="1F3864" w:themeColor="accent1" w:themeShade="80"/>
              </w:rPr>
            </w:pPr>
            <w:r w:rsidRPr="00B4008E">
              <w:rPr>
                <w:color w:val="1F3864" w:themeColor="accent1" w:themeShade="80"/>
              </w:rPr>
              <w:t>Competencias</w:t>
            </w:r>
          </w:p>
          <w:p w14:paraId="11CA91F3" w14:textId="77777777" w:rsidR="00050706" w:rsidRPr="00B4008E" w:rsidRDefault="00050706" w:rsidP="00E42375">
            <w:pPr>
              <w:rPr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4DC4B0" w14:textId="77777777" w:rsidR="00050706" w:rsidRPr="00B4008E" w:rsidRDefault="00050706" w:rsidP="00050706">
            <w:pPr>
              <w:spacing w:after="120"/>
              <w:rPr>
                <w:b/>
              </w:rPr>
            </w:pPr>
            <w:r>
              <w:rPr>
                <w:rFonts w:cs="Calibri"/>
              </w:rPr>
              <w:t>1) Gestionar proyectos informáticos, ofreciendo alternativas para la toma de decisiones de acuerdo con los requerimientos de la organización.</w:t>
            </w:r>
          </w:p>
          <w:p w14:paraId="797F4A42" w14:textId="77777777" w:rsidR="00244C16" w:rsidRDefault="00000000">
            <w:pPr>
              <w:spacing w:after="120"/>
            </w:pPr>
            <w:r>
              <w:rPr>
                <w:rFonts w:cs="Calibri"/>
              </w:rPr>
              <w:t>2) Desarrollar una solución de software utilizando técnicas que permitan sistematizar el proceso de desarrollo y mantenimiento.</w:t>
            </w:r>
          </w:p>
          <w:p w14:paraId="2350BA44" w14:textId="77777777" w:rsidR="00244C16" w:rsidRDefault="00000000">
            <w:pPr>
              <w:spacing w:after="120"/>
            </w:pPr>
            <w:r>
              <w:rPr>
                <w:rFonts w:cs="Calibri"/>
              </w:rPr>
              <w:t>3) Construir modelos de datos para soportar los requerimientos de la organización de acuerdo con un diseño definido y escalable en el tiempo.</w:t>
            </w:r>
          </w:p>
          <w:p w14:paraId="6B0698F1" w14:textId="77777777" w:rsidR="00244C16" w:rsidRDefault="00000000">
            <w:pPr>
              <w:spacing w:after="120"/>
            </w:pPr>
            <w:r>
              <w:rPr>
                <w:rFonts w:cs="Calibri"/>
              </w:rPr>
              <w:t>Estas tres competencias son las declaradas en el informe de la Fase 1. En la Fase 2 se aplican además los indicadores de pruebas de certificación (1.1 a 1.3) de las rúbricas de avance y cierre.</w:t>
            </w:r>
          </w:p>
        </w:tc>
      </w:tr>
    </w:tbl>
    <w:p w14:paraId="15193A69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26FD5B1F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03E29867" w14:textId="77777777" w:rsidR="001202BF" w:rsidRPr="009B676B" w:rsidRDefault="001202BF" w:rsidP="000C587E">
            <w:pPr>
              <w:rPr>
                <w:b/>
              </w:rPr>
            </w:pPr>
            <w:r w:rsidRPr="009B676B">
              <w:rPr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3C7453F6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609D7479" w14:textId="77777777" w:rsidR="001202BF" w:rsidRPr="00612A14" w:rsidRDefault="001202BF" w:rsidP="00585A13">
            <w:pPr>
              <w:rPr>
                <w:color w:val="1F3864" w:themeColor="accent1" w:themeShade="80"/>
                <w:sz w:val="18"/>
              </w:rPr>
            </w:pPr>
            <w:r w:rsidRPr="00612A14">
              <w:rPr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138A395A" w14:textId="77777777" w:rsidR="00B4008E" w:rsidRPr="00B340E1" w:rsidRDefault="00B4008E" w:rsidP="00B340E1">
            <w:pPr>
              <w:pStyle w:val="paragraph"/>
              <w:numPr>
                <w:ilvl w:val="0"/>
                <w:numId w:val="6"/>
              </w:numPr>
              <w:spacing w:before="0" w:beforeAutospacing="0" w:after="120" w:afterAutospacing="0" w:line="360" w:lineRule="auto"/>
              <w:ind w:left="301" w:hanging="283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22"/>
              </w:rPr>
              <w:t>Problema. D-PAY, el POS móvil de Dtemite, solo puede cobrar con tarjeta a través de terminales físicos Kozen con la aplicación TUU. Un comercio que no tiene ese terminal no puede ofrecer pago con tarjeta desde un celular común, y la empresa depende de un único proveedor de hardware para cualquier medio de pago nuevo (Equipo D-PAY 3.0, 2026c).</w:t>
            </w:r>
          </w:p>
          <w:p w14:paraId="38C6DAAF" w14:textId="77777777" w:rsidR="00244C16" w:rsidRDefault="00000000">
            <w:pPr>
              <w:spacing w:after="120"/>
            </w:pPr>
            <w:r>
              <w:rPr>
                <w:rFonts w:cs="Calibri"/>
              </w:rPr>
              <w:t>Relevancia para la profesión. Desacoplar la lógica de negocio de las integraciones con terceros es un problema central de la ingeniería de software: el mismo patrón (adaptador/</w:t>
            </w:r>
            <w:proofErr w:type="spellStart"/>
            <w:r>
              <w:rPr>
                <w:rFonts w:cs="Calibri"/>
              </w:rPr>
              <w:t>strategy</w:t>
            </w:r>
            <w:proofErr w:type="spellEnd"/>
            <w:r>
              <w:rPr>
                <w:rFonts w:cs="Calibri"/>
              </w:rPr>
              <w:t xml:space="preserve"> detrás de un contrato estable) se usa en pasarelas de pago, mensajería o servicios en la nube. El proyecto lo aplica sobre un sistema real en producción, con restricciones de seguridad reales (PCI DSS) y de cumplimiento tributario (DTE ante el SII).</w:t>
            </w:r>
          </w:p>
          <w:p w14:paraId="3FC02CC3" w14:textId="77777777" w:rsidR="00244C16" w:rsidRDefault="00000000">
            <w:pPr>
              <w:spacing w:after="120"/>
            </w:pPr>
            <w:r>
              <w:rPr>
                <w:rFonts w:cs="Calibri"/>
              </w:rPr>
              <w:t>Dónde se ubica. En Chile, en el mercado de comercios que usan el POS de Dtemite para vender, cobrar y emitir documentos tributarios electrónicos. El mercado de pagos digitales en Chile ha diversificado sus canales (pasarelas web, billeteras digitales y transferencias), y los comercios que dependen solo de hardware físico quedan en desventaja.</w:t>
            </w:r>
          </w:p>
          <w:p w14:paraId="4A820FBA" w14:textId="77777777" w:rsidR="00244C16" w:rsidRDefault="00000000">
            <w:pPr>
              <w:spacing w:after="120"/>
            </w:pPr>
            <w:r>
              <w:rPr>
                <w:rFonts w:cs="Calibri"/>
              </w:rPr>
              <w:t>A quiénes impacta. A los comercios clientes de Dtemite y a sus vendedores, que podrán cobrar con Webpay desde un celular Android sin terminal; a los clientes finales, que pagan desde su propio celular escaneando un QR; y a Dtemite, que puede agregar nuevas pasarelas implementando un contrato, sin tocar la pantalla de cobro ni la lógica de venta.</w:t>
            </w:r>
          </w:p>
          <w:p w14:paraId="7AA23912" w14:textId="77777777" w:rsidR="00244C16" w:rsidRDefault="00000000">
            <w:pPr>
              <w:spacing w:after="120"/>
            </w:pPr>
            <w:r>
              <w:rPr>
                <w:rFonts w:cs="Calibri"/>
              </w:rPr>
              <w:t>Aporte de valor. Una capa PaymentGateway que ya convive con el cobro TUU/Kozen en producción y agrega Webpay Plus en un celular genérico, con el dato de tarjeta fuera del dispositivo y las credenciales de Transbank fuera del APK. Al 12/10/2026 el valor es demostrable en el ambiente de integración de Transbank (aprobado y rechazado PASS). La operación con comercios reales requiere las credenciales de producción y la emisión de DTE, todavía pendientes.</w:t>
            </w:r>
          </w:p>
        </w:tc>
      </w:tr>
      <w:tr w:rsidR="001202BF" w14:paraId="5C76A885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55C5D7E9" w14:textId="77777777" w:rsidR="001202BF" w:rsidRPr="00612A14" w:rsidRDefault="001202BF" w:rsidP="00585A13">
            <w:pPr>
              <w:rPr>
                <w:color w:val="1F3864" w:themeColor="accent1" w:themeShade="80"/>
                <w:sz w:val="18"/>
              </w:rPr>
            </w:pPr>
            <w:r w:rsidRPr="00612A14">
              <w:rPr>
                <w:color w:val="1F3864" w:themeColor="accent1" w:themeShade="80"/>
                <w:sz w:val="18"/>
              </w:rPr>
              <w:t>2. Objetivos</w:t>
            </w:r>
          </w:p>
        </w:tc>
        <w:tc>
          <w:tcPr>
            <w:tcW w:w="6780" w:type="dxa"/>
            <w:vAlign w:val="center"/>
          </w:tcPr>
          <w:p w14:paraId="21F8F3CB" w14:textId="77777777" w:rsidR="001202BF" w:rsidRPr="00B340E1" w:rsidRDefault="001202BF" w:rsidP="001202BF">
            <w:pPr>
              <w:pStyle w:val="Prrafodelista"/>
              <w:numPr>
                <w:ilvl w:val="0"/>
                <w:numId w:val="1"/>
              </w:numPr>
              <w:spacing w:after="120"/>
              <w:ind w:left="314" w:hanging="284"/>
              <w:jc w:val="both"/>
              <w:rPr>
                <w:rFonts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cs="Calibri"/>
              </w:rPr>
              <w:t>Objetivo general. Diseñar e implementar una arquitectura de pagos extensible para el sistema D-PAY, que permita incorporar múltiples pasarelas de pago digitales de forma desacoplada, utilizando Webpay como implementación mínima viable durante el semestre (Equipo D-PAY 3.0, 2026c).</w:t>
            </w:r>
          </w:p>
          <w:p w14:paraId="66AD66AB" w14:textId="77777777" w:rsidR="00244C16" w:rsidRDefault="00000000">
            <w:pPr>
              <w:spacing w:after="120"/>
            </w:pPr>
            <w:r>
              <w:rPr>
                <w:rFonts w:cs="Calibri"/>
              </w:rPr>
              <w:t>Objetivos específicos y grado de cumplimiento al 12/10/2026:</w:t>
            </w:r>
          </w:p>
          <w:p w14:paraId="2548A99B" w14:textId="77777777" w:rsidR="00244C16" w:rsidRDefault="00000000">
            <w:pPr>
              <w:spacing w:after="120"/>
            </w:pPr>
            <w:r>
              <w:rPr>
                <w:rFonts w:cs="Calibri"/>
              </w:rPr>
              <w:t xml:space="preserve">1. Levantar y documentar la arquitectura de pagos actual de D-PAY y su dependencia del hardware TUU/Kozen — Cumplido (inventario </w:t>
            </w:r>
            <w:proofErr w:type="spellStart"/>
            <w:r>
              <w:rPr>
                <w:rFonts w:cs="Calibri"/>
              </w:rPr>
              <w:t>baseline</w:t>
            </w:r>
            <w:proofErr w:type="spellEnd"/>
            <w:r>
              <w:rPr>
                <w:rFonts w:cs="Calibri"/>
              </w:rPr>
              <w:t xml:space="preserve"> COD-00).</w:t>
            </w:r>
          </w:p>
          <w:p w14:paraId="6F9F5FF8" w14:textId="77777777" w:rsidR="00244C16" w:rsidRDefault="00000000">
            <w:pPr>
              <w:spacing w:after="120"/>
            </w:pPr>
            <w:r>
              <w:rPr>
                <w:rFonts w:cs="Calibri"/>
              </w:rPr>
              <w:t xml:space="preserve">2. Diseñar un modelo de arquitectura </w:t>
            </w:r>
            <w:proofErr w:type="spellStart"/>
            <w:r>
              <w:rPr>
                <w:rFonts w:cs="Calibri"/>
              </w:rPr>
              <w:t>multi-gateway</w:t>
            </w:r>
            <w:proofErr w:type="spellEnd"/>
            <w:r>
              <w:rPr>
                <w:rFonts w:cs="Calibri"/>
              </w:rPr>
              <w:t xml:space="preserve"> que desacople la lógica de negocio de cada pasarela — Cumplido (</w:t>
            </w:r>
            <w:proofErr w:type="spellStart"/>
            <w:r>
              <w:rPr>
                <w:rFonts w:cs="Calibri"/>
              </w:rPr>
              <w:t>IPaymentGateway</w:t>
            </w:r>
            <w:proofErr w:type="spellEnd"/>
            <w:r>
              <w:rPr>
                <w:rFonts w:cs="Calibri"/>
              </w:rPr>
              <w:t xml:space="preserve">, </w:t>
            </w:r>
            <w:proofErr w:type="spellStart"/>
            <w:r>
              <w:rPr>
                <w:rFonts w:cs="Calibri"/>
              </w:rPr>
              <w:t>factory</w:t>
            </w:r>
            <w:proofErr w:type="spellEnd"/>
            <w:r>
              <w:rPr>
                <w:rFonts w:cs="Calibri"/>
              </w:rPr>
              <w:t xml:space="preserve"> y adaptadores, PR #7 a #11; DAS v1.0.2; catálogo RNF v1.0.1).</w:t>
            </w:r>
          </w:p>
          <w:p w14:paraId="5031A3EE" w14:textId="77777777" w:rsidR="00244C16" w:rsidRDefault="00000000">
            <w:pPr>
              <w:spacing w:after="120"/>
            </w:pPr>
            <w:r>
              <w:rPr>
                <w:rFonts w:cs="Calibri"/>
              </w:rPr>
              <w:t>3. Implementar la integración con Webpay como MVP funcional dentro de D-PAY — Parcial: aprobado y rechazado PASS (04/10, HU-06); TC-063 parcial; TC-064 / TC-RG-01 Parcial (13/10/2026, Kozen P8 Neo, Diego Madrid); evidencia en Sprint_03/capturas_20261013/; DTE pendiente.</w:t>
            </w:r>
          </w:p>
          <w:p w14:paraId="1B6ABE99" w14:textId="77777777" w:rsidR="00244C16" w:rsidRDefault="00000000">
            <w:pPr>
              <w:spacing w:after="120"/>
            </w:pPr>
            <w:r>
              <w:rPr>
                <w:rFonts w:cs="Calibri"/>
              </w:rPr>
              <w:t>4. Documentar en el Product Backlog las integraciones futuras con Flow, Mercado Pago y PayPal — Cumplido (Product Backlog de la Fase 1).</w:t>
            </w:r>
          </w:p>
          <w:p w14:paraId="691EC4F4" w14:textId="77777777" w:rsidR="00244C16" w:rsidRDefault="00000000">
            <w:pPr>
              <w:spacing w:after="120"/>
            </w:pPr>
            <w:r>
              <w:rPr>
                <w:rFonts w:cs="Calibri"/>
              </w:rPr>
              <w:t xml:space="preserve">5. Gestionar el proyecto con Scrum, con </w:t>
            </w:r>
            <w:proofErr w:type="spellStart"/>
            <w:r>
              <w:rPr>
                <w:rFonts w:cs="Calibri"/>
              </w:rPr>
              <w:t>sprints</w:t>
            </w:r>
            <w:proofErr w:type="spellEnd"/>
            <w:r>
              <w:rPr>
                <w:rFonts w:cs="Calibri"/>
              </w:rPr>
              <w:t>, backlog priorizado y ceremonias — En curso: actas S01 y S02 firmadas; Sprint 3 en curso. Git a cargo de Pablo Gutiérrez y Diego Madrid (PR #17).</w:t>
            </w:r>
          </w:p>
        </w:tc>
      </w:tr>
      <w:tr w:rsidR="001202BF" w14:paraId="6BB00669" w14:textId="77777777" w:rsidTr="7EB51544">
        <w:tc>
          <w:tcPr>
            <w:tcW w:w="3001" w:type="dxa"/>
            <w:vAlign w:val="center"/>
          </w:tcPr>
          <w:p w14:paraId="4F2BD506" w14:textId="77777777" w:rsidR="001202BF" w:rsidRPr="00612A14" w:rsidRDefault="001202BF" w:rsidP="00585A13">
            <w:pPr>
              <w:rPr>
                <w:color w:val="1F3864" w:themeColor="accent1" w:themeShade="80"/>
                <w:sz w:val="18"/>
              </w:rPr>
            </w:pPr>
            <w:r w:rsidRPr="00612A14">
              <w:rPr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5F9837CC" w14:textId="77777777" w:rsidR="001202BF" w:rsidRPr="00B340E1" w:rsidRDefault="001202BF" w:rsidP="001202BF">
            <w:pPr>
              <w:pStyle w:val="Prrafodelista"/>
              <w:numPr>
                <w:ilvl w:val="0"/>
                <w:numId w:val="1"/>
              </w:numPr>
              <w:spacing w:after="120"/>
              <w:ind w:left="318" w:hanging="284"/>
              <w:jc w:val="both"/>
              <w:rPr>
                <w:rFonts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cs="Calibri"/>
              </w:rPr>
              <w:t xml:space="preserve">Metodología utilizada. Scrum con siete </w:t>
            </w:r>
            <w:proofErr w:type="spellStart"/>
            <w:r>
              <w:rPr>
                <w:rFonts w:cs="Calibri"/>
              </w:rPr>
              <w:t>sprints</w:t>
            </w:r>
            <w:proofErr w:type="spellEnd"/>
            <w:r>
              <w:rPr>
                <w:rFonts w:cs="Calibri"/>
              </w:rPr>
              <w:t xml:space="preserve"> de dos semanas agrupados en tres fases académicas (Schwaber y Sutherland, 2020). José Robles Rocha (Dtemite) es el Product Owner, Pablo Gutiérrez el Scrum Master y el equipo de desarrollo lo forman Diego Madrid, Pablo Gutiérrez y Reinhartd Munzenmayer. Cada sprint tiene un objetivo y cierra con una retrospectiva </w:t>
            </w:r>
            <w:proofErr w:type="spellStart"/>
            <w:r>
              <w:rPr>
                <w:rFonts w:cs="Calibri"/>
              </w:rPr>
              <w:t>Start</w:t>
            </w:r>
            <w:proofErr w:type="spellEnd"/>
            <w:r>
              <w:rPr>
                <w:rFonts w:cs="Calibri"/>
              </w:rPr>
              <w:t xml:space="preserve"> / Stop / Continue cuyas acciones quedan con responsable y sprint de destino.</w:t>
            </w:r>
          </w:p>
          <w:p w14:paraId="6DA1672C" w14:textId="77777777" w:rsidR="00244C16" w:rsidRDefault="00000000">
            <w:pPr>
              <w:spacing w:after="120"/>
            </w:pPr>
            <w:r>
              <w:rPr>
                <w:rFonts w:cs="Calibri"/>
              </w:rPr>
              <w:t xml:space="preserve">Fases y procedimientos. Fase 1 (definición): Product Vision, Product Backlog priorizado, requisitos no funcionales y arquitectura base. Fase 2 (desarrollo): en cada sprint, planificación desde el backlog, desarrollo en una rama por funcionalidad, Pull </w:t>
            </w:r>
            <w:proofErr w:type="spellStart"/>
            <w:r>
              <w:rPr>
                <w:rFonts w:cs="Calibri"/>
              </w:rPr>
              <w:t>Request</w:t>
            </w:r>
            <w:proofErr w:type="spellEnd"/>
            <w:r>
              <w:rPr>
                <w:rFonts w:cs="Calibri"/>
              </w:rPr>
              <w:t xml:space="preserve"> obligatorio antes de integrar a </w:t>
            </w:r>
            <w:proofErr w:type="spellStart"/>
            <w:r>
              <w:rPr>
                <w:rFonts w:cs="Calibri"/>
              </w:rPr>
              <w:t>main</w:t>
            </w:r>
            <w:proofErr w:type="spellEnd"/>
            <w:r>
              <w:rPr>
                <w:rFonts w:cs="Calibri"/>
              </w:rPr>
              <w:t xml:space="preserve"> (subida, revisión y actualización a cargo de Pablo Gutiérrez y Diego Madrid), pruebas documentadas según ISO/IEC/IEEE 29119-3 (ISO, 2021) y retrospectiva con acta. Fase 3 (cierre): informe de cierre y defensa académica cuando corresponda; este instrumento 2.6 no incluye exposición oral.</w:t>
            </w:r>
          </w:p>
          <w:p w14:paraId="63FFE98F" w14:textId="77777777" w:rsidR="00244C16" w:rsidRDefault="00000000">
            <w:pPr>
              <w:spacing w:after="120"/>
            </w:pPr>
            <w:r>
              <w:rPr>
                <w:rFonts w:cs="Calibri"/>
              </w:rPr>
              <w:t xml:space="preserve">Pertinencia. Scrum es adecuado porque el equipo es pequeño, los requisitos evolucionan (las pasarelas se agregan de a una) y la empresa mandante puede validar los incrementos en cada </w:t>
            </w:r>
            <w:proofErr w:type="spellStart"/>
            <w:r>
              <w:rPr>
                <w:rFonts w:cs="Calibri"/>
              </w:rPr>
              <w:t>Review</w:t>
            </w:r>
            <w:proofErr w:type="spellEnd"/>
            <w:r>
              <w:rPr>
                <w:rFonts w:cs="Calibri"/>
              </w:rPr>
              <w:t>. La entrega incremental permitió tener Webpay operativo en el Sprint 2 aunque la emisión de DTE se atrasara, y las pruebas con estándar ISO dejan claro qué está cumplido y qué no. Los requisitos no funcionales se clasificaron con ISO/IEC 25010 (ISO, 2011) para que los criterios de calidad sean medibles.</w:t>
            </w:r>
          </w:p>
        </w:tc>
      </w:tr>
      <w:tr w:rsidR="001202BF" w14:paraId="0B12DCAC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5AF2E6D3" w14:textId="77777777" w:rsidR="001202BF" w:rsidRPr="00612A14" w:rsidRDefault="001202BF" w:rsidP="00585A13">
            <w:pPr>
              <w:rPr>
                <w:color w:val="1F3864" w:themeColor="accent1" w:themeShade="80"/>
                <w:sz w:val="18"/>
              </w:rPr>
            </w:pPr>
            <w:r w:rsidRPr="00612A14">
              <w:rPr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338E1015" w14:textId="46C51BA7" w:rsidR="001202BF" w:rsidRPr="00B340E1" w:rsidRDefault="001202BF" w:rsidP="001202BF">
            <w:pPr>
              <w:pStyle w:val="Prrafodelista"/>
              <w:numPr>
                <w:ilvl w:val="0"/>
                <w:numId w:val="1"/>
              </w:numPr>
              <w:spacing w:after="120"/>
              <w:ind w:left="318" w:hanging="284"/>
              <w:jc w:val="both"/>
              <w:rPr>
                <w:rFonts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cs="Calibri"/>
              </w:rPr>
              <w:t xml:space="preserve">Etapas o actividades. Sprint 1 (08/09–21/09/2026): base </w:t>
            </w:r>
            <w:proofErr w:type="spellStart"/>
            <w:r>
              <w:rPr>
                <w:rFonts w:cs="Calibri"/>
              </w:rPr>
              <w:t>multi-pasarela</w:t>
            </w:r>
            <w:proofErr w:type="spellEnd"/>
            <w:r>
              <w:rPr>
                <w:rFonts w:cs="Calibri"/>
              </w:rPr>
              <w:t xml:space="preserve"> (detección, </w:t>
            </w:r>
            <w:proofErr w:type="spellStart"/>
            <w:r>
              <w:rPr>
                <w:rFonts w:cs="Calibri"/>
              </w:rPr>
              <w:t>factory</w:t>
            </w:r>
            <w:proofErr w:type="spellEnd"/>
            <w:r>
              <w:rPr>
                <w:rFonts w:cs="Calibri"/>
              </w:rPr>
              <w:t xml:space="preserve"> y cobro Webpay sin hardware Kozen). Cumplido: Webpay </w:t>
            </w:r>
            <w:proofErr w:type="spellStart"/>
            <w:r>
              <w:rPr>
                <w:rFonts w:cs="Calibri"/>
              </w:rPr>
              <w:t>sandbox</w:t>
            </w:r>
            <w:proofErr w:type="spellEnd"/>
            <w:r>
              <w:rPr>
                <w:rFonts w:cs="Calibri"/>
              </w:rPr>
              <w:t xml:space="preserve"> y efectivo operativos (19/09); PR #7 a #11. Sprint 2 (22/09–05/10/2026): cerrar Webpay (rechazo y cancelación), efectivo e inicio de emisión DTE. Parcial: QR y cancelación (03/10), comprobante POS y rechazo (04/10) PASS; DTE no cerrado; PR #12 a #15. Sprint 3 (06/10–17/10/2026): cerrar DTE, historial y nota de crédito; este informe. En curso al 12/10: Jest 17/17; DTE, </w:t>
            </w:r>
            <w:proofErr w:type="spellStart"/>
            <w:r>
              <w:rPr>
                <w:rFonts w:cs="Calibri"/>
              </w:rPr>
              <w:t>re-test</w:t>
            </w:r>
            <w:proofErr w:type="spellEnd"/>
            <w:r>
              <w:rPr>
                <w:rFonts w:cs="Calibri"/>
              </w:rPr>
              <w:t xml:space="preserve"> de TC-063 y decisión del </w:t>
            </w:r>
            <w:proofErr w:type="spellStart"/>
            <w:r>
              <w:rPr>
                <w:rFonts w:cs="Calibri"/>
              </w:rPr>
              <w:t>timeout</w:t>
            </w:r>
            <w:proofErr w:type="spellEnd"/>
            <w:r>
              <w:rPr>
                <w:rFonts w:cs="Calibri"/>
              </w:rPr>
              <w:t xml:space="preserve"> </w:t>
            </w:r>
            <w:r w:rsidR="00517F68">
              <w:rPr>
                <w:rFonts w:cs="Calibri"/>
              </w:rPr>
              <w:t xml:space="preserve">de </w:t>
            </w:r>
            <w:r>
              <w:rPr>
                <w:rFonts w:cs="Calibri"/>
              </w:rPr>
              <w:t>300 s vigentes;</w:t>
            </w:r>
            <w:r w:rsidR="00517F68">
              <w:rPr>
                <w:rFonts w:cs="Calibri"/>
              </w:rPr>
              <w:t xml:space="preserve"> </w:t>
            </w:r>
            <w:r>
              <w:rPr>
                <w:rFonts w:cs="Calibri"/>
              </w:rPr>
              <w:t xml:space="preserve">pendientes. Los </w:t>
            </w:r>
            <w:proofErr w:type="spellStart"/>
            <w:r>
              <w:rPr>
                <w:rFonts w:cs="Calibri"/>
              </w:rPr>
              <w:t>sprints</w:t>
            </w:r>
            <w:proofErr w:type="spellEnd"/>
            <w:r>
              <w:rPr>
                <w:rFonts w:cs="Calibri"/>
              </w:rPr>
              <w:t xml:space="preserve"> 4 a 7 quedan según el Sprint Backlog (documento 03); no se anticipan resultados. Las ventanas de S1–S3 provienen de las actas firmadas (Equipo D-PAY 3.0, 2026a, 2026b).</w:t>
            </w:r>
          </w:p>
          <w:p w14:paraId="6C0BD0E4" w14:textId="77777777" w:rsidR="00244C16" w:rsidRDefault="00000000">
            <w:pPr>
              <w:spacing w:after="120"/>
            </w:pPr>
            <w:r>
              <w:rPr>
                <w:rFonts w:cs="Calibri"/>
              </w:rPr>
              <w:t xml:space="preserve">Facilitadores. POS heredado operable y cobro TUU/Kozen en producción como línea base; códigos públicos de integración de Transbank; un Celular Android de pruebas (versión por confirmar) y un segundo celular en la misma red </w:t>
            </w:r>
            <w:proofErr w:type="spellStart"/>
            <w:r>
              <w:rPr>
                <w:rFonts w:cs="Calibri"/>
              </w:rPr>
              <w:t>Wi</w:t>
            </w:r>
            <w:proofErr w:type="spellEnd"/>
            <w:r>
              <w:rPr>
                <w:rFonts w:cs="Calibri"/>
              </w:rPr>
              <w:t xml:space="preserve">-Fi; revisión por Pull </w:t>
            </w:r>
            <w:proofErr w:type="spellStart"/>
            <w:r>
              <w:rPr>
                <w:rFonts w:cs="Calibri"/>
              </w:rPr>
              <w:t>Request</w:t>
            </w:r>
            <w:proofErr w:type="spellEnd"/>
            <w:r>
              <w:rPr>
                <w:rFonts w:cs="Calibri"/>
              </w:rPr>
              <w:t xml:space="preserve"> y pruebas automáticas del núcleo de pago.</w:t>
            </w:r>
          </w:p>
          <w:p w14:paraId="1C599DD0" w14:textId="77777777" w:rsidR="00244C16" w:rsidRDefault="00000000">
            <w:pPr>
              <w:spacing w:after="120"/>
            </w:pPr>
            <w:r>
              <w:rPr>
                <w:rFonts w:cs="Calibri"/>
              </w:rPr>
              <w:t xml:space="preserve">Dificultades. El celular genérico no tiene TUU; el proxy no responde en 127.0.0.1 sin cable USB (DEF-NET); la red móvil no enruta direcciones de la red local; deriva del </w:t>
            </w:r>
            <w:proofErr w:type="spellStart"/>
            <w:r>
              <w:rPr>
                <w:rFonts w:cs="Calibri"/>
              </w:rPr>
              <w:t>timeout</w:t>
            </w:r>
            <w:proofErr w:type="spellEnd"/>
            <w:r>
              <w:rPr>
                <w:rFonts w:cs="Calibri"/>
              </w:rPr>
              <w:t xml:space="preserve"> entre código y documentación (DEF-DOC-01, cerrado; oficial 300 s); un ID de caso usado para tres escenarios; falta de un terminal Kozen en el equipo académico para la regresión manual (TC-064).</w:t>
            </w:r>
          </w:p>
          <w:p w14:paraId="3507E617" w14:textId="77777777" w:rsidR="00244C16" w:rsidRDefault="00000000">
            <w:pPr>
              <w:spacing w:after="120"/>
            </w:pPr>
            <w:r>
              <w:rPr>
                <w:rFonts w:cs="Calibri"/>
              </w:rPr>
              <w:t xml:space="preserve">Ajustes. Perfil GENERIC_MOBILE y Webpay en el celular genérico, en vez de forzar TUU. </w:t>
            </w:r>
            <w:proofErr w:type="spellStart"/>
            <w:r>
              <w:rPr>
                <w:rFonts w:cs="Calibri"/>
              </w:rPr>
              <w:t>Checkout</w:t>
            </w:r>
            <w:proofErr w:type="spellEnd"/>
            <w:r>
              <w:rPr>
                <w:rFonts w:cs="Calibri"/>
              </w:rPr>
              <w:t xml:space="preserve"> por QR </w:t>
            </w:r>
            <w:proofErr w:type="spellStart"/>
            <w:r>
              <w:rPr>
                <w:rFonts w:cs="Calibri"/>
              </w:rPr>
              <w:t>in-app</w:t>
            </w:r>
            <w:proofErr w:type="spellEnd"/>
            <w:r>
              <w:rPr>
                <w:rFonts w:cs="Calibri"/>
              </w:rPr>
              <w:t xml:space="preserve"> que apunta al proxy, porque Transbank no entrega un QR nativo. Emisión de DTE movida del Sprint 2 al Sprint 3. Regresión TUU/Kozen cubierta con 17 pruebas unitarias mientras TC-064 sigue bloqueado, en espera de Diego Madrid (TUU/Kozen en producción). Renombre de evidencias del 11/10. </w:t>
            </w:r>
            <w:proofErr w:type="spellStart"/>
            <w:r>
              <w:rPr>
                <w:rFonts w:cs="Calibri"/>
              </w:rPr>
              <w:t>Timeout</w:t>
            </w:r>
            <w:proofErr w:type="spellEnd"/>
            <w:r>
              <w:rPr>
                <w:rFonts w:cs="Calibri"/>
              </w:rPr>
              <w:t xml:space="preserve"> oficial del </w:t>
            </w:r>
            <w:proofErr w:type="spellStart"/>
            <w:r>
              <w:rPr>
                <w:rFonts w:cs="Calibri"/>
              </w:rPr>
              <w:t>checkout</w:t>
            </w:r>
            <w:proofErr w:type="spellEnd"/>
            <w:r>
              <w:rPr>
                <w:rFonts w:cs="Calibri"/>
              </w:rPr>
              <w:t>: 300 s. No hay exposición oral en esta entrega.</w:t>
            </w:r>
          </w:p>
        </w:tc>
      </w:tr>
      <w:tr w:rsidR="001202BF" w14:paraId="3701B27F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6DA85D91" w14:textId="77777777" w:rsidR="001202BF" w:rsidRPr="00612A14" w:rsidRDefault="001202BF" w:rsidP="00585A13">
            <w:pPr>
              <w:rPr>
                <w:color w:val="1F3864" w:themeColor="accent1" w:themeShade="80"/>
                <w:sz w:val="18"/>
              </w:rPr>
            </w:pPr>
            <w:r w:rsidRPr="00612A14">
              <w:rPr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6F1A6E85" w14:textId="77777777" w:rsidR="001202BF" w:rsidRPr="00B340E1" w:rsidRDefault="00946E78" w:rsidP="001202BF">
            <w:pPr>
              <w:pStyle w:val="Prrafodelista"/>
              <w:numPr>
                <w:ilvl w:val="0"/>
                <w:numId w:val="1"/>
              </w:numPr>
              <w:spacing w:after="120"/>
              <w:ind w:left="314" w:hanging="284"/>
              <w:jc w:val="both"/>
              <w:rPr>
                <w:rFonts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cs="Calibri"/>
              </w:rPr>
              <w:t>Estas evidencias permiten seguir las etapas del proyecto y su resultado al 12/10/2026. Las capturas están en el Anexo.</w:t>
            </w:r>
          </w:p>
          <w:p w14:paraId="640EE56A" w14:textId="77777777" w:rsidR="00244C16" w:rsidRDefault="00000000">
            <w:pPr>
              <w:spacing w:after="120"/>
            </w:pPr>
            <w:r>
              <w:rPr>
                <w:rFonts w:cs="Calibri"/>
              </w:rPr>
              <w:t>Definición (Fase 1): Product Vision, Product Backlog e informe 1.4 (fase1/grupales).</w:t>
            </w:r>
          </w:p>
          <w:p w14:paraId="2A841283" w14:textId="77777777" w:rsidR="00244C16" w:rsidRDefault="00000000">
            <w:pPr>
              <w:spacing w:after="120"/>
            </w:pPr>
            <w:r>
              <w:rPr>
                <w:rFonts w:cs="Calibri"/>
              </w:rPr>
              <w:t>Diseño: DAS v1.0.2, ADR-002 (Madrid, 2026) y catálogo RNF v1.0.1 (Munzenmayer, 2026a) en 05_Documento_de_Diseno.</w:t>
            </w:r>
          </w:p>
          <w:p w14:paraId="27C700DC" w14:textId="77777777" w:rsidR="00244C16" w:rsidRDefault="00000000">
            <w:pPr>
              <w:spacing w:after="120"/>
            </w:pPr>
            <w:r>
              <w:rPr>
                <w:rFonts w:cs="Calibri"/>
              </w:rPr>
              <w:t xml:space="preserve">Construcción: PR #7 a #15 integrados en </w:t>
            </w:r>
            <w:proofErr w:type="spellStart"/>
            <w:r>
              <w:rPr>
                <w:rFonts w:cs="Calibri"/>
              </w:rPr>
              <w:t>main</w:t>
            </w:r>
            <w:proofErr w:type="spellEnd"/>
            <w:r>
              <w:rPr>
                <w:rFonts w:cs="Calibri"/>
              </w:rPr>
              <w:t xml:space="preserve"> (GitHub dpay_3.0). Publicación a cargo de Pablo Gutiérrez y Diego Madrid; PR #17 abierto (actas, Word Fase 2, README, carpeta </w:t>
            </w:r>
            <w:proofErr w:type="spellStart"/>
            <w:r>
              <w:rPr>
                <w:rFonts w:cs="Calibri"/>
              </w:rPr>
              <w:t>reinhard</w:t>
            </w:r>
            <w:proofErr w:type="spellEnd"/>
            <w:r>
              <w:rPr>
                <w:rFonts w:cs="Calibri"/>
              </w:rPr>
              <w:t>/).</w:t>
            </w:r>
          </w:p>
          <w:p w14:paraId="1878C686" w14:textId="77777777" w:rsidR="00244C16" w:rsidRDefault="00000000">
            <w:pPr>
              <w:spacing w:after="120"/>
            </w:pPr>
            <w:r>
              <w:rPr>
                <w:rFonts w:cs="Calibri"/>
              </w:rPr>
              <w:t xml:space="preserve">Datos: SQLite </w:t>
            </w:r>
            <w:proofErr w:type="spellStart"/>
            <w:r>
              <w:rPr>
                <w:rFonts w:cs="Calibri"/>
              </w:rPr>
              <w:t>payment_transactions</w:t>
            </w:r>
            <w:proofErr w:type="spellEnd"/>
            <w:r>
              <w:rPr>
                <w:rFonts w:cs="Calibri"/>
              </w:rPr>
              <w:t xml:space="preserve"> sin PAN ni CVV (PCI Security </w:t>
            </w:r>
            <w:proofErr w:type="spellStart"/>
            <w:r>
              <w:rPr>
                <w:rFonts w:cs="Calibri"/>
              </w:rPr>
              <w:t>Standards</w:t>
            </w:r>
            <w:proofErr w:type="spellEnd"/>
            <w:r>
              <w:rPr>
                <w:rFonts w:cs="Calibri"/>
              </w:rPr>
              <w:t xml:space="preserve"> Council, 2022) en </w:t>
            </w:r>
            <w:proofErr w:type="spellStart"/>
            <w:r>
              <w:rPr>
                <w:rFonts w:cs="Calibri"/>
              </w:rPr>
              <w:t>webpay</w:t>
            </w:r>
            <w:proofErr w:type="spellEnd"/>
            <w:r>
              <w:rPr>
                <w:rFonts w:cs="Calibri"/>
              </w:rPr>
              <w:t>-proxy/.</w:t>
            </w:r>
          </w:p>
          <w:p w14:paraId="6C64CAE8" w14:textId="77777777" w:rsidR="00244C16" w:rsidRDefault="00000000">
            <w:pPr>
              <w:spacing w:after="120"/>
            </w:pPr>
            <w:r>
              <w:rPr>
                <w:rFonts w:cs="Calibri"/>
              </w:rPr>
              <w:t>Pruebas: Plan v1.2, catálogo CSY4111 (15 OK, 2 parciales MTC-12 y MTC-13, 1 NOK, 1 bloqueado de 19), Listado de Defectos v1.2 (Munzenmayer, 2026b, 2026c), Jest 17/17. HU-06: Webpay aprobado y rechazado PASS; TC-063 parcial; TC-064 / TC-RG-01 Parcial (13/10, Kozen). Figuras 1 a 5 y salida Jest (Figura 6) en el Anexo.</w:t>
            </w:r>
          </w:p>
          <w:p w14:paraId="71C92A61" w14:textId="77777777" w:rsidR="00244C16" w:rsidRDefault="00000000">
            <w:pPr>
              <w:spacing w:after="120"/>
            </w:pPr>
            <w:r>
              <w:rPr>
                <w:rFonts w:cs="Calibri"/>
              </w:rPr>
              <w:t>Gestión: actas S01 y S02 firmadas; Retro S03 v0.2. No hay exposición oral ni video demostrativo en esta entrega.</w:t>
            </w:r>
          </w:p>
          <w:p w14:paraId="4D6BAE11" w14:textId="77777777" w:rsidR="00244C16" w:rsidRDefault="00000000">
            <w:pPr>
              <w:spacing w:after="120"/>
            </w:pPr>
            <w:r>
              <w:rPr>
                <w:rFonts w:cs="Calibri"/>
              </w:rPr>
              <w:t xml:space="preserve">Resultado final (aún no): APK </w:t>
            </w:r>
            <w:proofErr w:type="spellStart"/>
            <w:r>
              <w:rPr>
                <w:rFonts w:cs="Calibri"/>
              </w:rPr>
              <w:t>release</w:t>
            </w:r>
            <w:proofErr w:type="spellEnd"/>
            <w:r>
              <w:rPr>
                <w:rFonts w:cs="Calibri"/>
              </w:rPr>
              <w:t>, emisión DTE con folio SII y video demostrativo siguen pendientes; no se adjuntan como cumplidos.</w:t>
            </w:r>
          </w:p>
        </w:tc>
      </w:tr>
      <w:tr w:rsidR="001202BF" w14:paraId="61F34230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57297053" w14:textId="77777777" w:rsidR="001202BF" w:rsidRPr="00B83A6D" w:rsidRDefault="00B340E1" w:rsidP="7EB51544">
            <w:pPr>
              <w:rPr>
                <w:color w:val="1F3864" w:themeColor="accent1" w:themeShade="80"/>
                <w:sz w:val="18"/>
                <w:szCs w:val="18"/>
              </w:rPr>
            </w:pPr>
            <w:r>
              <w:rPr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6BC71736" w14:textId="77777777" w:rsidR="001202BF" w:rsidRPr="00B340E1" w:rsidRDefault="001202BF" w:rsidP="7EB51544">
            <w:pPr>
              <w:pStyle w:val="Prrafodelista"/>
              <w:numPr>
                <w:ilvl w:val="0"/>
                <w:numId w:val="1"/>
              </w:numPr>
              <w:spacing w:after="120"/>
              <w:ind w:left="314" w:hanging="284"/>
              <w:jc w:val="both"/>
              <w:rPr>
                <w:rFonts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cs="Calibri"/>
                <w:i/>
              </w:rPr>
              <w:t>Este apartado es individual. Cada integrante redacta su propia reflexión. No se escriben en nombre de Diego Madrid ni de Pablo Gutiérrez.</w:t>
            </w:r>
          </w:p>
          <w:p w14:paraId="4FD26482" w14:textId="12C29E5A" w:rsidR="00244C16" w:rsidRDefault="00000000">
            <w:pPr>
              <w:spacing w:after="120"/>
            </w:pPr>
            <w:r>
              <w:rPr>
                <w:rFonts w:cs="Calibri"/>
                <w:b/>
                <w:color w:val="1F3864"/>
                <w:sz w:val="24"/>
              </w:rPr>
              <w:t xml:space="preserve">Reinhartd Munzenmayer </w:t>
            </w:r>
          </w:p>
          <w:p w14:paraId="5566ACA9" w14:textId="77777777" w:rsidR="00244C16" w:rsidRDefault="00000000">
            <w:pPr>
              <w:spacing w:after="120"/>
            </w:pPr>
            <w:r>
              <w:rPr>
                <w:rFonts w:cs="Calibri"/>
              </w:rPr>
              <w:t xml:space="preserve">Aporte del proyecto a mis intereses. En la Fase 1 declaré interés en la arquitectura y el desarrollo en la nube, y en el uso de inteligencia artificial como apoyo al desarrollo de software. D-PAY 3.0 me permitió aplicar ese pensamiento a pagos: el proxy y la matriz de trazabilidad siguen los mismos principios de un sistema </w:t>
            </w:r>
            <w:proofErr w:type="spellStart"/>
            <w:r>
              <w:rPr>
                <w:rFonts w:cs="Calibri"/>
              </w:rPr>
              <w:t>cloud</w:t>
            </w:r>
            <w:proofErr w:type="spellEnd"/>
            <w:r>
              <w:rPr>
                <w:rFonts w:cs="Calibri"/>
              </w:rPr>
              <w:t xml:space="preserve"> (contrato estable, secretos fuera del cliente, decisiones trazables). La IA la usé en el método de trabajo, para generar documentos y clasificar evidencias, no como una funcionalidad del producto. Mis intereses siguen siendo los mismos; el proyecto les agregó la calidad de software como un área que antes no consideraba de forma sistemática.</w:t>
            </w:r>
          </w:p>
          <w:p w14:paraId="5EFABCA3" w14:textId="77777777" w:rsidR="00244C16" w:rsidRDefault="00000000">
            <w:pPr>
              <w:spacing w:after="120"/>
            </w:pPr>
            <w:r>
              <w:rPr>
                <w:rFonts w:cs="Calibri"/>
              </w:rPr>
              <w:t xml:space="preserve">Proyecciones. En el diario de reflexión de la Fase 1 me proyecté a mediano plazo trabajando en </w:t>
            </w:r>
            <w:proofErr w:type="spellStart"/>
            <w:r>
              <w:rPr>
                <w:rFonts w:cs="Calibri"/>
              </w:rPr>
              <w:t>cloud</w:t>
            </w:r>
            <w:proofErr w:type="spellEnd"/>
            <w:r>
              <w:rPr>
                <w:rFonts w:cs="Calibri"/>
              </w:rPr>
              <w:t>, programando y utilizando IA. Ese rumbo se mantiene; quiero profundizar en calidad de software aplicada a pagos (trazabilidad, evidencia auditable y requisitos no funcionales medibles), que es el trabajo que efectivamente hice en HU-06 y en los documentos 06 y 07.</w:t>
            </w:r>
          </w:p>
          <w:p w14:paraId="23449AFC" w14:textId="77777777" w:rsidR="00517F68" w:rsidRDefault="00517F68">
            <w:pPr>
              <w:spacing w:after="120"/>
              <w:rPr>
                <w:rFonts w:cs="Calibri"/>
                <w:b/>
                <w:color w:val="1F3864"/>
                <w:sz w:val="24"/>
              </w:rPr>
            </w:pPr>
          </w:p>
          <w:p w14:paraId="5423B2F9" w14:textId="4F419D83" w:rsidR="00244C16" w:rsidRDefault="00000000">
            <w:pPr>
              <w:spacing w:after="120"/>
            </w:pPr>
            <w:r>
              <w:rPr>
                <w:rFonts w:cs="Calibri"/>
                <w:b/>
                <w:color w:val="1F3864"/>
                <w:sz w:val="24"/>
              </w:rPr>
              <w:t>Diego Madrid (arquitectura e integración Webpay)</w:t>
            </w:r>
          </w:p>
          <w:p w14:paraId="7895DAA9" w14:textId="39423E55" w:rsidR="00244C16" w:rsidRDefault="00000000">
            <w:pPr>
              <w:spacing w:after="120"/>
            </w:pPr>
            <w:r>
              <w:rPr>
                <w:rFonts w:cs="Calibri"/>
              </w:rPr>
              <w:t xml:space="preserve">En su diario de reflexión de la Fase 1 declaró interés en desarrollar e integrar soluciones que conecten aplicaciones móviles, servicios en la nube y sistemas de pago, con foco en la integración de sistemas y el desarrollo </w:t>
            </w:r>
            <w:proofErr w:type="spellStart"/>
            <w:r>
              <w:rPr>
                <w:rFonts w:cs="Calibri"/>
              </w:rPr>
              <w:t>mobile</w:t>
            </w:r>
            <w:proofErr w:type="spellEnd"/>
            <w:r>
              <w:rPr>
                <w:rFonts w:cs="Calibri"/>
              </w:rPr>
              <w:t xml:space="preserve"> en contextos POS (Madrid, 2026, diario 1.2). </w:t>
            </w:r>
          </w:p>
          <w:p w14:paraId="27F28E4A" w14:textId="77777777" w:rsidR="00244C16" w:rsidRDefault="00000000">
            <w:pPr>
              <w:spacing w:after="120"/>
            </w:pPr>
            <w:r>
              <w:rPr>
                <w:rFonts w:cs="Calibri"/>
                <w:b/>
                <w:color w:val="1F3864"/>
                <w:sz w:val="24"/>
              </w:rPr>
              <w:t>Pablo Gutiérrez (Scrum Master y desarrollo)</w:t>
            </w:r>
          </w:p>
          <w:p w14:paraId="1F498154" w14:textId="19FA7AB5" w:rsidR="00244C16" w:rsidRDefault="00000000">
            <w:pPr>
              <w:spacing w:after="120"/>
            </w:pPr>
            <w:r>
              <w:rPr>
                <w:rFonts w:cs="Calibri"/>
              </w:rPr>
              <w:t xml:space="preserve">En su diario de reflexión de la Fase 1 declaró interés en seguir profundizando en bases de datos relacionales y, a futuro, desarrollar software propio para trabajar de manera independiente; el área de desempeño que más le interesa es el análisis y desarrollo de modelos de datos (Gutiérrez, 2026). </w:t>
            </w:r>
          </w:p>
        </w:tc>
      </w:tr>
    </w:tbl>
    <w:p w14:paraId="4C3F2100" w14:textId="77777777" w:rsidR="001202BF" w:rsidRDefault="001202BF" w:rsidP="001202BF">
      <w:pPr>
        <w:rPr>
          <w:b/>
        </w:rPr>
      </w:pPr>
    </w:p>
    <w:p w14:paraId="2CE1D69E" w14:textId="77777777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EF3282A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158B904" w14:textId="77777777" w:rsidR="001202BF" w:rsidRDefault="001202BF"/>
    <w:p w14:paraId="43BE7557" w14:textId="77777777" w:rsidR="00244C16" w:rsidRDefault="00000000">
      <w:pPr>
        <w:spacing w:before="280"/>
      </w:pPr>
      <w:r>
        <w:rPr>
          <w:rFonts w:cs="Calibri"/>
          <w:b/>
          <w:color w:val="1F3864"/>
          <w:sz w:val="28"/>
        </w:rPr>
        <w:t>Referencias</w:t>
      </w:r>
    </w:p>
    <w:p w14:paraId="7CA86EDB" w14:textId="77777777" w:rsidR="00244C16" w:rsidRDefault="00000000">
      <w:pPr>
        <w:spacing w:after="120"/>
      </w:pPr>
      <w:r>
        <w:rPr>
          <w:rFonts w:cs="Calibri"/>
        </w:rPr>
        <w:t>Las citas en el texto siguen APA 7. Solo se listan fuentes usadas en este instrumento.</w:t>
      </w:r>
    </w:p>
    <w:p w14:paraId="64B1D492" w14:textId="77777777" w:rsidR="00244C16" w:rsidRDefault="00000000">
      <w:pPr>
        <w:spacing w:after="120"/>
        <w:ind w:left="720" w:hanging="720"/>
      </w:pPr>
      <w:r>
        <w:rPr>
          <w:rFonts w:cs="Calibri"/>
        </w:rPr>
        <w:t>Duoc UC. (2026b). 2.6 Guía del estudiante Fase 2: Informe final Proyecto APT [Guía de asignatura]. Escuela de Informática y Telecomunicaciones.</w:t>
      </w:r>
    </w:p>
    <w:p w14:paraId="1534DF8D" w14:textId="77777777" w:rsidR="00244C16" w:rsidRDefault="00000000">
      <w:pPr>
        <w:spacing w:after="120"/>
        <w:ind w:left="720" w:hanging="720"/>
      </w:pPr>
      <w:r>
        <w:rPr>
          <w:rFonts w:cs="Calibri"/>
        </w:rPr>
        <w:t>Equipo D-PAY 3.0. (2026a). Acta de retrospectiva Sprint 1 [Documento interno firmado, 04/10/2026]. Duoc UC; Dtemite.</w:t>
      </w:r>
    </w:p>
    <w:p w14:paraId="2870D707" w14:textId="77777777" w:rsidR="00244C16" w:rsidRDefault="00000000">
      <w:pPr>
        <w:spacing w:after="120"/>
        <w:ind w:left="720" w:hanging="720"/>
      </w:pPr>
      <w:r>
        <w:rPr>
          <w:rFonts w:cs="Calibri"/>
        </w:rPr>
        <w:t>Equipo D-PAY 3.0. (2026b). Acta de retrospectiva Sprint 2 [Documento interno firmado, 04/10/2026]. Duoc UC; Dtemite.</w:t>
      </w:r>
    </w:p>
    <w:p w14:paraId="0BF5E0DE" w14:textId="77777777" w:rsidR="00244C16" w:rsidRDefault="00000000">
      <w:pPr>
        <w:spacing w:after="120"/>
        <w:ind w:left="720" w:hanging="720"/>
      </w:pPr>
      <w:r>
        <w:rPr>
          <w:rFonts w:cs="Calibri"/>
        </w:rPr>
        <w:t>Equipo D-PAY 3.0. (2026d). Informe de avance Fase 2 D-PAY 3.0 [Informe formativo 2.3]. Duoc UC.</w:t>
      </w:r>
    </w:p>
    <w:p w14:paraId="72C05666" w14:textId="77777777" w:rsidR="00244C16" w:rsidRDefault="00000000">
      <w:pPr>
        <w:spacing w:after="120"/>
        <w:ind w:left="720" w:hanging="720"/>
      </w:pPr>
      <w:r>
        <w:rPr>
          <w:rFonts w:cs="Calibri"/>
        </w:rPr>
        <w:t xml:space="preserve">Equipo D-PAY 3.0. (2026c). Informe de proyecto Fase 1: D-PAY 3.0, evolución hacia una arquitectura de pagos </w:t>
      </w:r>
      <w:proofErr w:type="spellStart"/>
      <w:r>
        <w:rPr>
          <w:rFonts w:cs="Calibri"/>
        </w:rPr>
        <w:t>multi-gateway</w:t>
      </w:r>
      <w:proofErr w:type="spellEnd"/>
      <w:r>
        <w:rPr>
          <w:rFonts w:cs="Calibri"/>
        </w:rPr>
        <w:t xml:space="preserve"> [Informe formativo 1.4]. Duoc UC.</w:t>
      </w:r>
    </w:p>
    <w:p w14:paraId="57BF7845" w14:textId="77777777" w:rsidR="00244C16" w:rsidRDefault="00000000">
      <w:pPr>
        <w:spacing w:after="120"/>
        <w:ind w:left="720" w:hanging="720"/>
      </w:pPr>
      <w:r>
        <w:rPr>
          <w:rFonts w:cs="Calibri"/>
        </w:rPr>
        <w:t>Gutiérrez, P. (2026). Diario de reflexión Fase 1 [Instrumento 1.2]. Duoc UC.</w:t>
      </w:r>
    </w:p>
    <w:p w14:paraId="6775DA96" w14:textId="77777777" w:rsidR="00244C16" w:rsidRDefault="00000000">
      <w:pPr>
        <w:spacing w:after="120"/>
        <w:ind w:left="720" w:hanging="720"/>
      </w:pPr>
      <w:r>
        <w:rPr>
          <w:rFonts w:cs="Calibri"/>
        </w:rPr>
        <w:t xml:space="preserve">International </w:t>
      </w:r>
      <w:proofErr w:type="spellStart"/>
      <w:r>
        <w:rPr>
          <w:rFonts w:cs="Calibri"/>
        </w:rPr>
        <w:t>Organization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for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Standardization</w:t>
      </w:r>
      <w:proofErr w:type="spellEnd"/>
      <w:r>
        <w:rPr>
          <w:rFonts w:cs="Calibri"/>
        </w:rPr>
        <w:t xml:space="preserve">. (2011). </w:t>
      </w:r>
      <w:proofErr w:type="spellStart"/>
      <w:r>
        <w:rPr>
          <w:rFonts w:cs="Calibri"/>
        </w:rPr>
        <w:t>Systems</w:t>
      </w:r>
      <w:proofErr w:type="spellEnd"/>
      <w:r>
        <w:rPr>
          <w:rFonts w:cs="Calibri"/>
        </w:rPr>
        <w:t xml:space="preserve"> and software </w:t>
      </w:r>
      <w:proofErr w:type="spellStart"/>
      <w:r>
        <w:rPr>
          <w:rFonts w:cs="Calibri"/>
        </w:rPr>
        <w:t>engineering</w:t>
      </w:r>
      <w:proofErr w:type="spellEnd"/>
      <w:r>
        <w:rPr>
          <w:rFonts w:cs="Calibri"/>
        </w:rPr>
        <w:t xml:space="preserve"> — </w:t>
      </w:r>
      <w:proofErr w:type="spellStart"/>
      <w:r>
        <w:rPr>
          <w:rFonts w:cs="Calibri"/>
        </w:rPr>
        <w:t>Systems</w:t>
      </w:r>
      <w:proofErr w:type="spellEnd"/>
      <w:r>
        <w:rPr>
          <w:rFonts w:cs="Calibri"/>
        </w:rPr>
        <w:t xml:space="preserve"> and software </w:t>
      </w:r>
      <w:proofErr w:type="spellStart"/>
      <w:r>
        <w:rPr>
          <w:rFonts w:cs="Calibri"/>
        </w:rPr>
        <w:t>Quality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Requirements</w:t>
      </w:r>
      <w:proofErr w:type="spellEnd"/>
      <w:r>
        <w:rPr>
          <w:rFonts w:cs="Calibri"/>
        </w:rPr>
        <w:t xml:space="preserve"> and </w:t>
      </w:r>
      <w:proofErr w:type="spellStart"/>
      <w:r>
        <w:rPr>
          <w:rFonts w:cs="Calibri"/>
        </w:rPr>
        <w:t>Evaluation</w:t>
      </w:r>
      <w:proofErr w:type="spellEnd"/>
      <w:r>
        <w:rPr>
          <w:rFonts w:cs="Calibri"/>
        </w:rPr>
        <w:t xml:space="preserve"> (</w:t>
      </w:r>
      <w:proofErr w:type="spellStart"/>
      <w:r>
        <w:rPr>
          <w:rFonts w:cs="Calibri"/>
        </w:rPr>
        <w:t>SQuaRE</w:t>
      </w:r>
      <w:proofErr w:type="spellEnd"/>
      <w:r>
        <w:rPr>
          <w:rFonts w:cs="Calibri"/>
        </w:rPr>
        <w:t xml:space="preserve">) — </w:t>
      </w:r>
      <w:proofErr w:type="spellStart"/>
      <w:r>
        <w:rPr>
          <w:rFonts w:cs="Calibri"/>
        </w:rPr>
        <w:t>System</w:t>
      </w:r>
      <w:proofErr w:type="spellEnd"/>
      <w:r>
        <w:rPr>
          <w:rFonts w:cs="Calibri"/>
        </w:rPr>
        <w:t xml:space="preserve"> and software </w:t>
      </w:r>
      <w:proofErr w:type="spellStart"/>
      <w:r>
        <w:rPr>
          <w:rFonts w:cs="Calibri"/>
        </w:rPr>
        <w:t>quality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models</w:t>
      </w:r>
      <w:proofErr w:type="spellEnd"/>
      <w:r>
        <w:rPr>
          <w:rFonts w:cs="Calibri"/>
        </w:rPr>
        <w:t xml:space="preserve"> (ISO/IEC 25010:2011). https://www.iso.org/standard/35733.html</w:t>
      </w:r>
    </w:p>
    <w:p w14:paraId="2F4F9F6F" w14:textId="77777777" w:rsidR="00244C16" w:rsidRDefault="00000000">
      <w:pPr>
        <w:spacing w:after="120"/>
        <w:ind w:left="720" w:hanging="720"/>
      </w:pPr>
      <w:r>
        <w:rPr>
          <w:rFonts w:cs="Calibri"/>
        </w:rPr>
        <w:t xml:space="preserve">International </w:t>
      </w:r>
      <w:proofErr w:type="spellStart"/>
      <w:r>
        <w:rPr>
          <w:rFonts w:cs="Calibri"/>
        </w:rPr>
        <w:t>Organization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for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Standardization</w:t>
      </w:r>
      <w:proofErr w:type="spellEnd"/>
      <w:r>
        <w:rPr>
          <w:rFonts w:cs="Calibri"/>
        </w:rPr>
        <w:t xml:space="preserve">. (2021). Software and </w:t>
      </w:r>
      <w:proofErr w:type="spellStart"/>
      <w:r>
        <w:rPr>
          <w:rFonts w:cs="Calibri"/>
        </w:rPr>
        <w:t>systems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engineering</w:t>
      </w:r>
      <w:proofErr w:type="spellEnd"/>
      <w:r>
        <w:rPr>
          <w:rFonts w:cs="Calibri"/>
        </w:rPr>
        <w:t xml:space="preserve"> — Software </w:t>
      </w:r>
      <w:proofErr w:type="spellStart"/>
      <w:r>
        <w:rPr>
          <w:rFonts w:cs="Calibri"/>
        </w:rPr>
        <w:t>testing</w:t>
      </w:r>
      <w:proofErr w:type="spellEnd"/>
      <w:r>
        <w:rPr>
          <w:rFonts w:cs="Calibri"/>
        </w:rPr>
        <w:t xml:space="preserve"> — Part 3: Test </w:t>
      </w:r>
      <w:proofErr w:type="spellStart"/>
      <w:r>
        <w:rPr>
          <w:rFonts w:cs="Calibri"/>
        </w:rPr>
        <w:t>documentation</w:t>
      </w:r>
      <w:proofErr w:type="spellEnd"/>
      <w:r>
        <w:rPr>
          <w:rFonts w:cs="Calibri"/>
        </w:rPr>
        <w:t xml:space="preserve"> (ISO/IEC/IEEE 29119-3:2021). https://www.iso.org/standard/79429.html</w:t>
      </w:r>
    </w:p>
    <w:p w14:paraId="1CA4313B" w14:textId="77777777" w:rsidR="00244C16" w:rsidRDefault="00000000">
      <w:pPr>
        <w:spacing w:after="120"/>
        <w:ind w:left="720" w:hanging="720"/>
      </w:pPr>
      <w:r>
        <w:rPr>
          <w:rFonts w:cs="Calibri"/>
        </w:rPr>
        <w:t>Madrid, D. (2026). Documento de Arquitectura del Sistema D-PAY 3.0 (Versión 1.0.2) [Documento interno]. Dtemite.</w:t>
      </w:r>
    </w:p>
    <w:p w14:paraId="620157FC" w14:textId="77777777" w:rsidR="00244C16" w:rsidRDefault="00000000">
      <w:pPr>
        <w:spacing w:after="120"/>
        <w:ind w:left="720" w:hanging="720"/>
      </w:pPr>
      <w:r>
        <w:rPr>
          <w:rFonts w:cs="Calibri"/>
        </w:rPr>
        <w:t>Madrid, D. (2026). Diario de reflexión Fase 1 [Instrumento 1.2]. Duoc UC. (Además del DAS v1.0.2 citado más abajo.)</w:t>
      </w:r>
    </w:p>
    <w:p w14:paraId="6899372F" w14:textId="77777777" w:rsidR="00244C16" w:rsidRDefault="00000000">
      <w:pPr>
        <w:spacing w:after="120"/>
        <w:ind w:left="720" w:hanging="720"/>
      </w:pPr>
      <w:r>
        <w:rPr>
          <w:rFonts w:cs="Calibri"/>
        </w:rPr>
        <w:t>Munzenmayer, R. (2026a). Catálogo de requisitos no funcionales ISO/IEC 25010 D-PAY 3.0 (Versión 1.0.1) [Documento interno]. Duoc UC.</w:t>
      </w:r>
    </w:p>
    <w:p w14:paraId="58E701B4" w14:textId="77777777" w:rsidR="00244C16" w:rsidRDefault="00000000">
      <w:pPr>
        <w:spacing w:after="120"/>
        <w:ind w:left="720" w:hanging="720"/>
      </w:pPr>
      <w:r>
        <w:rPr>
          <w:rFonts w:cs="Calibri"/>
        </w:rPr>
        <w:t>Munzenmayer, R. (2026d). Diario de reflexión Fase 1 [Instrumento 1.2]. Duoc UC.</w:t>
      </w:r>
    </w:p>
    <w:p w14:paraId="31394B5B" w14:textId="77777777" w:rsidR="00244C16" w:rsidRDefault="00000000">
      <w:pPr>
        <w:spacing w:after="120"/>
        <w:ind w:left="720" w:hanging="720"/>
      </w:pPr>
      <w:r>
        <w:rPr>
          <w:rFonts w:cs="Calibri"/>
        </w:rPr>
        <w:t>Munzenmayer, R. (2026b). Listado de defectos D-PAY 3.0 (Versión 1.2) [Documento interno]. Duoc UC.</w:t>
      </w:r>
    </w:p>
    <w:p w14:paraId="7E0CAA49" w14:textId="77777777" w:rsidR="00244C16" w:rsidRDefault="00000000">
      <w:pPr>
        <w:spacing w:after="120"/>
        <w:ind w:left="720" w:hanging="720"/>
      </w:pPr>
      <w:r>
        <w:rPr>
          <w:rFonts w:cs="Calibri"/>
        </w:rPr>
        <w:t>Munzenmayer, R. (2026c). Plan de pruebas D-PAY 3.0 (Versión 1.2) [Documento interno]. Duoc UC.</w:t>
      </w:r>
    </w:p>
    <w:p w14:paraId="46EDB69E" w14:textId="77777777" w:rsidR="00244C16" w:rsidRDefault="00000000">
      <w:pPr>
        <w:spacing w:after="120"/>
        <w:ind w:left="720" w:hanging="720"/>
      </w:pPr>
      <w:r>
        <w:rPr>
          <w:rFonts w:cs="Calibri"/>
        </w:rPr>
        <w:t xml:space="preserve">PCI Security </w:t>
      </w:r>
      <w:proofErr w:type="spellStart"/>
      <w:r>
        <w:rPr>
          <w:rFonts w:cs="Calibri"/>
        </w:rPr>
        <w:t>Standards</w:t>
      </w:r>
      <w:proofErr w:type="spellEnd"/>
      <w:r>
        <w:rPr>
          <w:rFonts w:cs="Calibri"/>
        </w:rPr>
        <w:t xml:space="preserve"> Council. (2022). Payment Card </w:t>
      </w:r>
      <w:proofErr w:type="spellStart"/>
      <w:r>
        <w:rPr>
          <w:rFonts w:cs="Calibri"/>
        </w:rPr>
        <w:t>Industry</w:t>
      </w:r>
      <w:proofErr w:type="spellEnd"/>
      <w:r>
        <w:rPr>
          <w:rFonts w:cs="Calibri"/>
        </w:rPr>
        <w:t xml:space="preserve"> Data Security Standard: </w:t>
      </w:r>
      <w:proofErr w:type="spellStart"/>
      <w:r>
        <w:rPr>
          <w:rFonts w:cs="Calibri"/>
        </w:rPr>
        <w:t>Requirements</w:t>
      </w:r>
      <w:proofErr w:type="spellEnd"/>
      <w:r>
        <w:rPr>
          <w:rFonts w:cs="Calibri"/>
        </w:rPr>
        <w:t xml:space="preserve"> and </w:t>
      </w:r>
      <w:proofErr w:type="spellStart"/>
      <w:r>
        <w:rPr>
          <w:rFonts w:cs="Calibri"/>
        </w:rPr>
        <w:t>testing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procedures</w:t>
      </w:r>
      <w:proofErr w:type="spellEnd"/>
      <w:r>
        <w:rPr>
          <w:rFonts w:cs="Calibri"/>
        </w:rPr>
        <w:t xml:space="preserve"> (Versión 4.0). https://www.pcisecuritystandards.org/document_library/</w:t>
      </w:r>
    </w:p>
    <w:p w14:paraId="2883AE3B" w14:textId="77777777" w:rsidR="00244C16" w:rsidRDefault="00000000">
      <w:pPr>
        <w:spacing w:after="120"/>
        <w:ind w:left="720" w:hanging="720"/>
      </w:pPr>
      <w:r>
        <w:rPr>
          <w:rFonts w:cs="Calibri"/>
        </w:rPr>
        <w:t xml:space="preserve">Schwaber, K., &amp; Sutherland, J. (2020). The Scrum Guide: The definitive guide </w:t>
      </w:r>
      <w:proofErr w:type="spellStart"/>
      <w:r>
        <w:rPr>
          <w:rFonts w:cs="Calibri"/>
        </w:rPr>
        <w:t>to</w:t>
      </w:r>
      <w:proofErr w:type="spellEnd"/>
      <w:r>
        <w:rPr>
          <w:rFonts w:cs="Calibri"/>
        </w:rPr>
        <w:t xml:space="preserve"> Scrum: The rules </w:t>
      </w:r>
      <w:proofErr w:type="spellStart"/>
      <w:r>
        <w:rPr>
          <w:rFonts w:cs="Calibri"/>
        </w:rPr>
        <w:t>of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the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game</w:t>
      </w:r>
      <w:proofErr w:type="spellEnd"/>
      <w:r>
        <w:rPr>
          <w:rFonts w:cs="Calibri"/>
        </w:rPr>
        <w:t>. Scrum.org. https://scrumguides.org/scrum-guide.html</w:t>
      </w:r>
    </w:p>
    <w:p w14:paraId="5EBFD750" w14:textId="77777777" w:rsidR="00244C16" w:rsidRDefault="00000000">
      <w:pPr>
        <w:spacing w:after="120"/>
        <w:ind w:left="720" w:hanging="720"/>
      </w:pPr>
      <w:r>
        <w:rPr>
          <w:rFonts w:cs="Calibri"/>
        </w:rPr>
        <w:t xml:space="preserve">Transbank. (s. f.). Webpay Plus. Transbank </w:t>
      </w:r>
      <w:proofErr w:type="spellStart"/>
      <w:r>
        <w:rPr>
          <w:rFonts w:cs="Calibri"/>
        </w:rPr>
        <w:t>Developers</w:t>
      </w:r>
      <w:proofErr w:type="spellEnd"/>
      <w:r>
        <w:rPr>
          <w:rFonts w:cs="Calibri"/>
        </w:rPr>
        <w:t>. Recuperado el 12 de octubre de 2026, de https://www.transbankdevelopers.cl/documentacion/webpay-plus</w:t>
      </w:r>
    </w:p>
    <w:p w14:paraId="00B3F5A7" w14:textId="77777777" w:rsidR="00244C16" w:rsidRDefault="00000000">
      <w:pPr>
        <w:spacing w:before="280"/>
      </w:pPr>
      <w:r>
        <w:rPr>
          <w:rFonts w:cs="Calibri"/>
          <w:b/>
          <w:color w:val="1F3864"/>
          <w:sz w:val="28"/>
        </w:rPr>
        <w:t>Anexo. Evidencias seleccionadas</w:t>
      </w:r>
    </w:p>
    <w:p w14:paraId="12E3B620" w14:textId="77777777" w:rsidR="00244C16" w:rsidRDefault="00000000">
      <w:pPr>
        <w:spacing w:after="120"/>
      </w:pPr>
      <w:r>
        <w:rPr>
          <w:rFonts w:cs="Calibri"/>
        </w:rPr>
        <w:t xml:space="preserve">Capturas del Celular Android (versión del sistema operativo por confirmar). Se revisó que no muestren PAN completo, CVV, tokens, credenciales ni códigos de comercio. El QR de la Figura 3 está pixelado. </w:t>
      </w:r>
      <w:proofErr w:type="spellStart"/>
      <w:r>
        <w:rPr>
          <w:rFonts w:cs="Calibri"/>
        </w:rPr>
        <w:t>Timeout</w:t>
      </w:r>
      <w:proofErr w:type="spellEnd"/>
      <w:r>
        <w:rPr>
          <w:rFonts w:cs="Calibri"/>
        </w:rPr>
        <w:t xml:space="preserve"> oficial: 300 s.</w:t>
      </w:r>
    </w:p>
    <w:p w14:paraId="44CEB4C7" w14:textId="77777777" w:rsidR="00244C16" w:rsidRDefault="00000000">
      <w:pPr>
        <w:jc w:val="center"/>
      </w:pPr>
      <w:r>
        <w:rPr>
          <w:noProof/>
        </w:rPr>
        <w:drawing>
          <wp:inline distT="0" distB="0" distL="0" distR="0" wp14:anchorId="3F93FF15" wp14:editId="2BADA252">
            <wp:extent cx="3108960" cy="69088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22C0" w14:textId="77777777" w:rsidR="00244C16" w:rsidRDefault="00000000">
      <w:pPr>
        <w:spacing w:after="240" w:line="240" w:lineRule="auto"/>
        <w:jc w:val="center"/>
      </w:pPr>
      <w:r>
        <w:rPr>
          <w:rFonts w:cs="Calibri"/>
          <w:i/>
          <w:sz w:val="20"/>
        </w:rPr>
        <w:t>Figura 1. Pago Webpay aprobado: comprobante electrónico en el POS. Caso TC-061 / TC-WP-TBK (HU-03, HU-06). Resultado: PASS. Fecha: 04/10/2026. Dispositivo: Celular Android (versión por confirmar). Origen: Evidencias_dpay\COD-04-HU03-webpay\capturas\TC-WP-TBK_OK_comprobante-debito_2000_20261004_CelularAndroid.jpg</w:t>
      </w:r>
    </w:p>
    <w:p w14:paraId="3F1409D9" w14:textId="77777777" w:rsidR="00244C16" w:rsidRDefault="00000000">
      <w:pPr>
        <w:jc w:val="center"/>
      </w:pPr>
      <w:r>
        <w:rPr>
          <w:noProof/>
        </w:rPr>
        <w:drawing>
          <wp:inline distT="0" distB="0" distL="0" distR="0" wp14:anchorId="3F38E786" wp14:editId="0516E151">
            <wp:extent cx="3108960" cy="69088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AB76" w14:textId="77777777" w:rsidR="00244C16" w:rsidRDefault="00000000">
      <w:pPr>
        <w:spacing w:after="240" w:line="240" w:lineRule="auto"/>
        <w:jc w:val="center"/>
      </w:pPr>
      <w:r>
        <w:rPr>
          <w:rFonts w:cs="Calibri"/>
          <w:i/>
          <w:sz w:val="20"/>
        </w:rPr>
        <w:t>Figura 2. Pago Webpay rechazado: la aplicación informa el rechazo de Transbank. Caso TC-062 / TC-WP-04 (HU-03, HU-06). Resultado: PASS (rechazo esperado). Fecha: 04/10/2026. Dispositivo: Celular Android. Origen: Evidencias_dpay\COD-04-HU03-webpay\capturas\TC-WP-04_DECLINED_pago-no-completado_3500_20261004_CelularAndroid.jpg</w:t>
      </w:r>
    </w:p>
    <w:p w14:paraId="4020C1B5" w14:textId="77777777" w:rsidR="00244C16" w:rsidRDefault="00000000">
      <w:pPr>
        <w:jc w:val="center"/>
      </w:pPr>
      <w:r>
        <w:rPr>
          <w:noProof/>
        </w:rPr>
        <w:drawing>
          <wp:inline distT="0" distB="0" distL="0" distR="0" wp14:anchorId="59CE8789" wp14:editId="63328BED">
            <wp:extent cx="3108960" cy="69088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0FB3" w14:textId="77777777" w:rsidR="00244C16" w:rsidRDefault="00000000">
      <w:pPr>
        <w:spacing w:after="240" w:line="240" w:lineRule="auto"/>
        <w:jc w:val="center"/>
      </w:pPr>
      <w:r>
        <w:rPr>
          <w:rFonts w:cs="Calibri"/>
          <w:i/>
          <w:sz w:val="20"/>
        </w:rPr>
        <w:t xml:space="preserve">Figura 3. Modal QR de Webpay con monto y temporizador. Caso TC-WP-QR-01 (HU-03). Resultado: PASS. Fecha: 03/10/2026. El código QR se pixeló en esta copia porque codifica la URL de la transacción de prueba. El temporizador es consistente con el </w:t>
      </w:r>
      <w:proofErr w:type="spellStart"/>
      <w:r>
        <w:rPr>
          <w:rFonts w:cs="Calibri"/>
          <w:i/>
          <w:sz w:val="20"/>
        </w:rPr>
        <w:t>timeout</w:t>
      </w:r>
      <w:proofErr w:type="spellEnd"/>
      <w:r>
        <w:rPr>
          <w:rFonts w:cs="Calibri"/>
          <w:i/>
          <w:sz w:val="20"/>
        </w:rPr>
        <w:t xml:space="preserve"> oficial de 300 s.</w:t>
      </w:r>
    </w:p>
    <w:p w14:paraId="6DCB22C9" w14:textId="77777777" w:rsidR="00244C16" w:rsidRDefault="00000000">
      <w:pPr>
        <w:jc w:val="center"/>
      </w:pPr>
      <w:r>
        <w:rPr>
          <w:noProof/>
        </w:rPr>
        <w:drawing>
          <wp:inline distT="0" distB="0" distL="0" distR="0" wp14:anchorId="252EF84A" wp14:editId="15F7E5A9">
            <wp:extent cx="3108960" cy="69088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7447" w14:textId="77777777" w:rsidR="00244C16" w:rsidRDefault="00000000">
      <w:pPr>
        <w:spacing w:after="240" w:line="240" w:lineRule="auto"/>
        <w:jc w:val="center"/>
      </w:pPr>
      <w:r>
        <w:rPr>
          <w:rFonts w:cs="Calibri"/>
          <w:i/>
          <w:sz w:val="20"/>
        </w:rPr>
        <w:t>Figura 4. Cancelación del cobro Webpay desde la aplicación. Caso TC-WP-05 (HU-03). Resultado: PASS. Fecha: 03/10/2026. Dispositivo: Celular Android. Origen: Evidencias_dpay\COD-04-HU03-webpay\capturas\TC-WP-05_CANCEL_dialogo_20500_20261003_CelularAndroid.jpg</w:t>
      </w:r>
    </w:p>
    <w:p w14:paraId="6A3399FD" w14:textId="77777777" w:rsidR="00244C16" w:rsidRDefault="00000000">
      <w:pPr>
        <w:jc w:val="center"/>
      </w:pPr>
      <w:r>
        <w:rPr>
          <w:noProof/>
        </w:rPr>
        <w:drawing>
          <wp:inline distT="0" distB="0" distL="0" distR="0" wp14:anchorId="62322F67" wp14:editId="3A51664C">
            <wp:extent cx="3108960" cy="69088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62B7" w14:textId="77777777" w:rsidR="00244C16" w:rsidRDefault="00000000">
      <w:pPr>
        <w:spacing w:after="240" w:line="240" w:lineRule="auto"/>
        <w:jc w:val="center"/>
      </w:pPr>
      <w:r>
        <w:rPr>
          <w:rFonts w:cs="Calibri"/>
          <w:i/>
          <w:sz w:val="20"/>
        </w:rPr>
        <w:t>Figura 5. Venta en efectivo con comprobante local. Caso TC-RNF03 (regresión efectivo). Resultado: PASS. Fecha: 27/09/2026. Dispositivo: Celular Android. Origen: Evidencias_dpay\regresion-efectivo-dte\capturas\TC-RNF03_03_comprobante-efectivo_100000_20260927_CelularAndroid.jpg</w:t>
      </w:r>
    </w:p>
    <w:p w14:paraId="2882DE39" w14:textId="77777777" w:rsidR="00244C16" w:rsidRDefault="00000000">
      <w:pPr>
        <w:spacing w:after="120"/>
      </w:pPr>
      <w:r>
        <w:rPr>
          <w:rFonts w:cs="Calibri"/>
        </w:rPr>
        <w:t xml:space="preserve">Figura 6. Salida de Jest (11/10/2026), </w:t>
      </w:r>
      <w:proofErr w:type="spellStart"/>
      <w:r>
        <w:rPr>
          <w:rFonts w:cs="Calibri"/>
        </w:rPr>
        <w:t>commit</w:t>
      </w:r>
      <w:proofErr w:type="spellEnd"/>
      <w:r>
        <w:rPr>
          <w:rFonts w:cs="Calibri"/>
        </w:rPr>
        <w:t xml:space="preserve"> 405b8db: 17/17 (</w:t>
      </w:r>
      <w:proofErr w:type="spellStart"/>
      <w:r>
        <w:rPr>
          <w:rFonts w:cs="Calibri"/>
        </w:rPr>
        <w:t>factory</w:t>
      </w:r>
      <w:proofErr w:type="spellEnd"/>
      <w:r>
        <w:rPr>
          <w:rFonts w:cs="Calibri"/>
        </w:rPr>
        <w:t xml:space="preserve"> 9, hu06Tuu 5, detección 3). Cubre la regresión TUU automatizada mientras TC-064 manual permanece bloqueado a la espera de Diego Madrid.</w:t>
      </w:r>
    </w:p>
    <w:sectPr w:rsidR="00244C1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E3548" w14:textId="77777777" w:rsidR="00830B4C" w:rsidRDefault="00830B4C" w:rsidP="00EE1135">
      <w:pPr>
        <w:spacing w:after="0" w:line="240" w:lineRule="auto"/>
      </w:pPr>
      <w:r>
        <w:separator/>
      </w:r>
    </w:p>
  </w:endnote>
  <w:endnote w:type="continuationSeparator" w:id="0">
    <w:p w14:paraId="67F07BCE" w14:textId="77777777" w:rsidR="00830B4C" w:rsidRDefault="00830B4C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9EAA0" w14:textId="77777777" w:rsidR="00244C16" w:rsidRDefault="00000000">
    <w:pPr>
      <w:jc w:val="center"/>
    </w:pPr>
    <w:r>
      <w:rPr>
        <w:rFonts w:cs="Calibri"/>
      </w:rPr>
      <w:t xml:space="preserve">Página </w:t>
    </w:r>
    <w:r>
      <w:rPr>
        <w:rFonts w:cs="Calibri"/>
      </w:rP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C9DA7" w14:textId="77777777" w:rsidR="00830B4C" w:rsidRDefault="00830B4C" w:rsidP="00EE1135">
      <w:pPr>
        <w:spacing w:after="0" w:line="240" w:lineRule="auto"/>
      </w:pPr>
      <w:r>
        <w:separator/>
      </w:r>
    </w:p>
  </w:footnote>
  <w:footnote w:type="continuationSeparator" w:id="0">
    <w:p w14:paraId="776CDD09" w14:textId="77777777" w:rsidR="00830B4C" w:rsidRDefault="00830B4C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69A01DC3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E3818D2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91D26F9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E6D13DE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EA2B44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154905">
    <w:abstractNumId w:val="0"/>
  </w:num>
  <w:num w:numId="2" w16cid:durableId="156305793">
    <w:abstractNumId w:val="2"/>
  </w:num>
  <w:num w:numId="3" w16cid:durableId="1473257929">
    <w:abstractNumId w:val="5"/>
  </w:num>
  <w:num w:numId="4" w16cid:durableId="327944434">
    <w:abstractNumId w:val="1"/>
  </w:num>
  <w:num w:numId="5" w16cid:durableId="1868832948">
    <w:abstractNumId w:val="3"/>
  </w:num>
  <w:num w:numId="6" w16cid:durableId="1072581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44C16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4F7603"/>
    <w:rsid w:val="00517F68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30B4C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FEEF4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360" w:lineRule="auto"/>
    </w:pPr>
    <w:rPr>
      <w:rFonts w:ascii="Calibri" w:eastAsia="Calibri" w:hAnsi="Calibri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2352</Words>
  <Characters>12939</Characters>
  <Application>Microsoft Office Word</Application>
  <DocSecurity>0</DocSecurity>
  <Lines>107</Lines>
  <Paragraphs>30</Paragraphs>
  <ScaleCrop>false</ScaleCrop>
  <Company/>
  <LinksUpToDate>false</LinksUpToDate>
  <CharactersWithSpaces>15261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REINHARTD UDO MUNZENMAYER BRAVO</cp:lastModifiedBy>
  <cp:revision>10</cp:revision>
  <dcterms:created xsi:type="dcterms:W3CDTF">2022-08-24T18:22:00Z</dcterms:created>
  <dcterms:modified xsi:type="dcterms:W3CDTF">2026-10-12T21:03:00Z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