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46C7" w14:textId="77777777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4457BE38" w14:textId="77777777" w:rsidTr="25FC3610">
        <w:trPr>
          <w:trHeight w:val="2192"/>
        </w:trPr>
        <w:tc>
          <w:tcPr>
            <w:tcW w:w="0" w:type="auto"/>
          </w:tcPr>
          <w:p w14:paraId="52191017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268B2D5B" w14:textId="77777777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75295317" w14:textId="77777777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4D5F1918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659702" w14:textId="77777777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545280BD" w14:textId="77777777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C21B663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86E171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45EEB1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AA08EBF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278B49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1BB583B0" w14:textId="5D6A8EEE" w:rsidR="004F2A8B" w:rsidRPr="00DD4055" w:rsidRDefault="00DD4055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Parcialmente: no se cumplieron todas las actividades en las fechas de la carta Gantt v2.0.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246B322C" w14:textId="0EC8E45D" w:rsidR="00DD4055" w:rsidRDefault="004F2A8B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La Gantt ubicaba en el Sprint 1 (08/09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 xml:space="preserve"> al </w:t>
            </w: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21/09) el login, la sesión y el armado de la venta, y en el Sprint 2 (22/09–05/10) el cobro y la emisión de DTE. En la práctica, los sprints 1 y 2 se usaron para el diferenciador Capstone: la capa PaymentGateway, el proxy Webpay y el cobro por QR en un Celular Android (PR #7 a #15). </w:t>
            </w:r>
          </w:p>
          <w:p w14:paraId="1D89C7A3" w14:textId="7E31893E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El POS heredado ya permitía vender y cobrar en efectivo; sin la factory no había Webpay en un celular genérico. Quedaron evidenciados el pago aprobado, el rechazado y la cancelación (03/10 y 04/10) y la venta en efectivo con historial local (27/09). La emisión de DTE, prevista en el Sprint 2, pasó al Sprint 3 y sigue abierta. El Sprint 3 (06/10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 xml:space="preserve"> al </w:t>
            </w:r>
            <w:r>
              <w:rPr>
                <w:rFonts w:ascii="Calibri" w:eastAsia="Calibri" w:hAnsi="Calibri" w:cs="Calibri"/>
                <w:color w:val="000000"/>
                <w:sz w:val="24"/>
              </w:rPr>
              <w:t>17/10) está en curso.</w:t>
            </w:r>
          </w:p>
          <w:p w14:paraId="49BC83BE" w14:textId="68C30EAE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Facilitaron el trabajo el POS D-PAY 2.0 operable y el cobro TUU/Kozen en producción, los códigos públicos de integración de Transbank, un Celular Android de pruebas, la revisión por Pull Request y las pruebas automáticas (Jest 17/17 el 11/10).</w:t>
            </w:r>
          </w:p>
          <w:p w14:paraId="6016ED75" w14:textId="13D15A21" w:rsidR="004F2A8B" w:rsidRPr="00874D16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Dificultaron el plan el celular genérico sin TUU, el proxy que no responde en 127.0.0.1 sin cable USB (DEF-NET), la red móvil que no enruta la red local, la deriva del timeout del checkout (cerrada; oficial 300 s), la falta de un terminal Kozen en el equipo (TC-064 a cargo de Diego) y un mismo ID de caso usado para tres escenarios, corregido el 11/10.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</w:tc>
      </w:tr>
    </w:tbl>
    <w:p w14:paraId="2C912F26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F0E833" w14:textId="77777777" w:rsidR="00DD4055" w:rsidRDefault="00DD4055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30DE0B" w14:textId="77777777" w:rsidR="00DD4055" w:rsidRDefault="00DD4055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6B6988D5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8CA7EA6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 xml:space="preserve">2. </w:t>
            </w:r>
          </w:p>
        </w:tc>
      </w:tr>
      <w:tr w:rsidR="004F2A8B" w14:paraId="43205C84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AB34E1C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5BC87664" w14:textId="77777777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Cada dificultad quedó con un ajuste concreto y un responsable, sin adelantar resultados que aún no existen.</w:t>
            </w:r>
          </w:p>
          <w:p w14:paraId="3472BB96" w14:textId="77777777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El celular genérico no es un terminal Kozen: se usa el perfil GENERIC_MOBILE y Webpay, en vez de forzar TUU. La regresión del cobro TUU se cubre con 17 pruebas unitarias en verde; TC-064 / TC-RG-01 quedó Parcial el 13/10/2026 (Diego Madrid, Kozen P8 Neo).</w:t>
            </w:r>
          </w:p>
          <w:p w14:paraId="30933A7E" w14:textId="327FBE8F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El proxy apagado o en 127.0.0.1 sin USB (DEF-NET) se documentó; se usa la IP de la red local, NetInfo y un timeout de fetch de 8 s. El re-test del error de conexión (TC-063) sin cable USB es mi compromiso en el Sprint 3. Si el cliente está en red móvil, hace falta un túnel HTTPS o un hotspot; esa decisión queda con Diego Madrid y Pablo Gutiérrez.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1B37B4D0" w14:textId="452FEEE7" w:rsidR="004F2A8B" w:rsidRPr="00874D16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El timeout oficial del checkout es 300 s. La emisión de DTE se movió al Sprint 3 y no se declara cerrada. Los IDs de evidencia se renombraron el 11/10. 06 y 07 ya están en Drive. Pablo Gutiérrez y Diego Madrid publican, revisan y actualizan en Git (PR #17).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</w:tc>
      </w:tr>
    </w:tbl>
    <w:p w14:paraId="4B89FC5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B7D1091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A26156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0E14EEEA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7F13981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5C37F7DB" w14:textId="18F15EBC" w:rsidR="004F2A8B" w:rsidRDefault="00DD4055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T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>rabajo como logrado, no como cerrado. </w:t>
            </w:r>
            <w:r>
              <w:rPr>
                <w:rFonts w:ascii="Calibri" w:eastAsia="Calibri" w:hAnsi="Calibri" w:cs="Calibri"/>
                <w:color w:val="000000"/>
                <w:sz w:val="24"/>
              </w:rPr>
              <w:t>Como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> QA y responsable de HU-06, de 06 Evidencia de Retrospectiva y de 07 Plan de Pruebas.</w:t>
            </w:r>
          </w:p>
          <w:p w14:paraId="6A2C7F46" w14:textId="3589911A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Destaco el Plan de Pruebas v1.2 según ISO/IEC/IEEE 29119-3, el catálogo de 19 casos con estados (15 OK, 2 parciales (MTC-12, MTC-13), 1 NOK, 0 bloqueados), las actas S01 y S02 firmadas por los tres el 04/10, el catálogo RNF v1.0.1 (32 RNF; 16 de 22 Must en OK) y las sesiones en el Celular Android entre el 19/09 y el 04/10 (aprobado, rechazado, cancelación, efectivo).</w:t>
            </w:r>
          </w:p>
          <w:p w14:paraId="481B7DCA" w14:textId="7990750C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Para mejorar: ejecutar el re-test de TC-063 sin USB; registrar la versión de Android del celular de pruebas; pedir revisión cruzada de mis documentos antes de cada entrega. </w:t>
            </w:r>
          </w:p>
          <w:p w14:paraId="61B594A8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541E407A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79C6E60" w14:textId="77777777" w:rsidR="004F2A8B" w:rsidRDefault="004F2A8B" w:rsidP="3D28A338"/>
    <w:p w14:paraId="05D0DC7A" w14:textId="77777777" w:rsidR="00DD4055" w:rsidRDefault="00DD4055" w:rsidP="3D28A338"/>
    <w:p w14:paraId="7636ED5B" w14:textId="77777777" w:rsidR="00DD4055" w:rsidRDefault="00DD4055" w:rsidP="3D28A338"/>
    <w:p w14:paraId="17F294D1" w14:textId="77777777" w:rsidR="00DD4055" w:rsidRDefault="00DD4055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482503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7431B7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2C38CC30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64D3F74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4C881251" w14:textId="2FC1941E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Inquietudes en el procedimiento. El proyecto puede cobrar con Webpay en un celular genérico, pero no es aún un POS completo: faltan DTE con folio SII, el re-test de conexión y la regresión manual TUU/Kozen. 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</w:p>
          <w:p w14:paraId="5444CF2F" w14:textId="77777777" w:rsidR="003C546E" w:rsidRDefault="003C546E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A mis colegas en el trabajo;</w:t>
            </w:r>
          </w:p>
          <w:p w14:paraId="235D476E" w14:textId="0824A940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¿Cómo fue el trabajo que realizamos en conjunto, la experiencia y cooperación, y si logramos alguna sinergia?, para ustedes que ya están inmersos en el área de desarrollo, ¿qué tan cercano fue esta experiencia con la vida real laboral?, ¿qué consejos, tips y ayuda me pueden dar en base a su experiencia?, ¿cómo se ve el desarrollo y el uso de la IA, así como la utilizamos y aplicamos en este proyecto?.</w:t>
            </w:r>
            <w:r w:rsidR="003C546E"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 w:rsidR="003C546E"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4C89FC3C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49E6941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9FE24A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5D104FE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6E980E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EB95471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1C2FF89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7027ED2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65C82FE1" w14:textId="3BD224E2" w:rsidR="004F2A8B" w:rsidRDefault="004F2A8B" w:rsidP="3D28A338">
            <w:pPr>
              <w:spacing w:after="160" w:line="276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Los roles de fondo se mantienen: Diego Madrid, arquitectura e integración Webpay (DAS y manual de despliegue); Pablo Gutiérrez, Scrum Master, Sprint Backlog y Definition of Done, y publicación en Git; Reinhartd Munzenmayer, QA, HU-06, retrospectivas y plan de pruebas. Redistribuir esas carteras a mitad del Sprint 3 rompería la trazabilidad de 06 y 07.</w:t>
            </w:r>
          </w:p>
          <w:p w14:paraId="78980C3A" w14:textId="77777777" w:rsidR="003C546E" w:rsidRDefault="003C546E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Existen actividades pendientes las redistribuimos, y según el avance y necesidad podemos replantearnos los roles, los cuales nos definen, pero no son estáticos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>. </w:t>
            </w:r>
          </w:p>
          <w:p w14:paraId="0E6AC8F5" w14:textId="77777777" w:rsidR="003C546E" w:rsidRDefault="004F2A8B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Diego: ejecutar TC-064, confirmar la versión de Android, avanzar DTE / tbl_dpay. </w:t>
            </w:r>
          </w:p>
          <w:p w14:paraId="303F9683" w14:textId="77777777" w:rsidR="003C546E" w:rsidRDefault="004F2A8B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Pablo: convocar Review y Retro S03, mover Trello a mano (D-02) y publicar, revisar y actualizar el PR #17. </w:t>
            </w:r>
          </w:p>
          <w:p w14:paraId="4BE1B2AA" w14:textId="4FE85E57" w:rsidR="004F2A8B" w:rsidRDefault="003C546E" w:rsidP="3D28A338">
            <w:pPr>
              <w:spacing w:after="160" w:line="276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Reinhartd: re-test de TC-063 sin USB y completar las muestras de login y de apertura Webpay que siguen parciales.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2C8FFB20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AA1CC86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4A428644" w14:textId="77777777" w:rsidR="003C546E" w:rsidRDefault="003C546E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28D2506" w14:textId="77777777" w:rsidR="003C546E" w:rsidRDefault="003C546E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52C516E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EB577E3" w14:textId="77777777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43E1DCD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E0C9B2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2AD9C1E0" w14:textId="591D984B" w:rsidR="003C546E" w:rsidRDefault="003C546E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Desde mi punto de vista personal, el 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>trabajo en grupo es sólido en el producto y en las ceremonias,</w:t>
            </w: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 pero debemos manejar e igual las publicaciones que son los puntos medibles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>. </w:t>
            </w:r>
          </w:p>
          <w:p w14:paraId="74A8C49D" w14:textId="76475D78" w:rsidR="004F2A8B" w:rsidRDefault="004F2A8B" w:rsidP="3D28A338">
            <w:pPr>
              <w:spacing w:after="160" w:line="276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Lo positivo: las actas S01 y S02 están firmadas por los tres; cada incremento entra por Pull Request; D-PAY 2.0 en producción (Diego) es la línea base y no se trata como abandonada; los bloqueos se informan como bloqueos (TC-064, DTE).</w:t>
            </w:r>
          </w:p>
          <w:p w14:paraId="098BA3B7" w14:textId="60BDE60D" w:rsidR="004F2A8B" w:rsidRDefault="004F2A8B" w:rsidP="3D28A338">
            <w:pPr>
              <w:spacing w:after="160" w:line="276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Lo que podemos mejorar: 06 y 07 ya están en Drive; Pablo y Diego publican, revisan y actualizan en Git (el PR #17 sigue abierto); Trello no está automatizado y hay que mover las tarjetas a mano; la Retro S03 no se ha realizado. El ambiente de trabajo es colaborativo.</w:t>
            </w:r>
            <w:r w:rsidR="003C546E"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 w:rsidR="003C546E"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4D144D8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EE96F9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229604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4AE1DF39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63D739C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83A54" w14:textId="77777777" w:rsidR="003A2B2C" w:rsidRDefault="003A2B2C" w:rsidP="00DF38AE">
      <w:pPr>
        <w:spacing w:after="0" w:line="240" w:lineRule="auto"/>
      </w:pPr>
      <w:r>
        <w:separator/>
      </w:r>
    </w:p>
  </w:endnote>
  <w:endnote w:type="continuationSeparator" w:id="0">
    <w:p w14:paraId="593F8D9F" w14:textId="77777777" w:rsidR="003A2B2C" w:rsidRDefault="003A2B2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66FE3FF5" w14:textId="77777777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08D46" w14:textId="77777777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02F08D46" w14:textId="77777777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  <w:p w14:paraId="42E89470" w14:textId="77777777" w:rsidR="00A62BFF" w:rsidRDefault="00000000">
    <w:pPr>
      <w:jc w:val="center"/>
    </w:pPr>
    <w:r>
      <w:rPr>
        <w:rFonts w:ascii="Calibri" w:hAnsi="Calibri"/>
        <w:sz w:val="20"/>
      </w:rPr>
      <w:fldChar w:fldCharType="begin"/>
    </w:r>
    <w:r>
      <w:rPr>
        <w:rFonts w:ascii="Calibri" w:hAnsi="Calibri"/>
        <w:sz w:val="20"/>
      </w:rPr>
      <w:instrText xml:space="preserve"> PAGE </w:instrText>
    </w:r>
    <w:r w:rsidR="00DD4055">
      <w:rPr>
        <w:rFonts w:ascii="Calibri" w:hAnsi="Calibri"/>
        <w:sz w:val="20"/>
      </w:rPr>
      <w:fldChar w:fldCharType="separate"/>
    </w:r>
    <w:r w:rsidR="00DD4055">
      <w:rPr>
        <w:rFonts w:ascii="Calibri" w:hAnsi="Calibri"/>
        <w:noProof/>
        <w:sz w:val="20"/>
      </w:rPr>
      <w:t>0</w:t>
    </w:r>
    <w:r>
      <w:rPr>
        <w:rFonts w:ascii="Calibri" w:hAnsi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3A2D1" w14:textId="77777777" w:rsidR="003A2B2C" w:rsidRDefault="003A2B2C" w:rsidP="00DF38AE">
      <w:pPr>
        <w:spacing w:after="0" w:line="240" w:lineRule="auto"/>
      </w:pPr>
      <w:r>
        <w:separator/>
      </w:r>
    </w:p>
  </w:footnote>
  <w:footnote w:type="continuationSeparator" w:id="0">
    <w:p w14:paraId="7C589952" w14:textId="77777777" w:rsidR="003A2B2C" w:rsidRDefault="003A2B2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44532FD6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B87A13F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5D41D2AA" w14:textId="77777777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413BA95C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DD13F4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65F076C" w14:textId="77777777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7E84F9BA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03ABE7E9" w14:textId="7777777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74EC8705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3104BF8E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E35846D" w14:textId="77777777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06261B46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7EF0FF74" w14:textId="77777777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E6D46B0" w14:textId="77777777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447779">
    <w:abstractNumId w:val="3"/>
  </w:num>
  <w:num w:numId="2" w16cid:durableId="1254896622">
    <w:abstractNumId w:val="8"/>
  </w:num>
  <w:num w:numId="3" w16cid:durableId="2041970774">
    <w:abstractNumId w:val="12"/>
  </w:num>
  <w:num w:numId="4" w16cid:durableId="1303075369">
    <w:abstractNumId w:val="28"/>
  </w:num>
  <w:num w:numId="5" w16cid:durableId="325717117">
    <w:abstractNumId w:val="30"/>
  </w:num>
  <w:num w:numId="6" w16cid:durableId="1119880899">
    <w:abstractNumId w:val="4"/>
  </w:num>
  <w:num w:numId="7" w16cid:durableId="422848287">
    <w:abstractNumId w:val="11"/>
  </w:num>
  <w:num w:numId="8" w16cid:durableId="953828376">
    <w:abstractNumId w:val="19"/>
  </w:num>
  <w:num w:numId="9" w16cid:durableId="936988074">
    <w:abstractNumId w:val="15"/>
  </w:num>
  <w:num w:numId="10" w16cid:durableId="2058309051">
    <w:abstractNumId w:val="9"/>
  </w:num>
  <w:num w:numId="11" w16cid:durableId="1124233307">
    <w:abstractNumId w:val="24"/>
  </w:num>
  <w:num w:numId="12" w16cid:durableId="1286153368">
    <w:abstractNumId w:val="35"/>
  </w:num>
  <w:num w:numId="13" w16cid:durableId="592058478">
    <w:abstractNumId w:val="29"/>
  </w:num>
  <w:num w:numId="14" w16cid:durableId="533084368">
    <w:abstractNumId w:val="1"/>
  </w:num>
  <w:num w:numId="15" w16cid:durableId="1891267065">
    <w:abstractNumId w:val="36"/>
  </w:num>
  <w:num w:numId="16" w16cid:durableId="902066036">
    <w:abstractNumId w:val="21"/>
  </w:num>
  <w:num w:numId="17" w16cid:durableId="1304382967">
    <w:abstractNumId w:val="17"/>
  </w:num>
  <w:num w:numId="18" w16cid:durableId="1982924556">
    <w:abstractNumId w:val="31"/>
  </w:num>
  <w:num w:numId="19" w16cid:durableId="126246323">
    <w:abstractNumId w:val="10"/>
  </w:num>
  <w:num w:numId="20" w16cid:durableId="634794592">
    <w:abstractNumId w:val="39"/>
  </w:num>
  <w:num w:numId="21" w16cid:durableId="1382317865">
    <w:abstractNumId w:val="34"/>
  </w:num>
  <w:num w:numId="22" w16cid:durableId="1386293059">
    <w:abstractNumId w:val="13"/>
  </w:num>
  <w:num w:numId="23" w16cid:durableId="608852539">
    <w:abstractNumId w:val="14"/>
  </w:num>
  <w:num w:numId="24" w16cid:durableId="1095663381">
    <w:abstractNumId w:val="5"/>
  </w:num>
  <w:num w:numId="25" w16cid:durableId="1665889066">
    <w:abstractNumId w:val="16"/>
  </w:num>
  <w:num w:numId="26" w16cid:durableId="2116555476">
    <w:abstractNumId w:val="20"/>
  </w:num>
  <w:num w:numId="27" w16cid:durableId="1847475126">
    <w:abstractNumId w:val="23"/>
  </w:num>
  <w:num w:numId="28" w16cid:durableId="2059283960">
    <w:abstractNumId w:val="0"/>
  </w:num>
  <w:num w:numId="29" w16cid:durableId="1052921615">
    <w:abstractNumId w:val="18"/>
  </w:num>
  <w:num w:numId="30" w16cid:durableId="691226962">
    <w:abstractNumId w:val="22"/>
  </w:num>
  <w:num w:numId="31" w16cid:durableId="1187719156">
    <w:abstractNumId w:val="2"/>
  </w:num>
  <w:num w:numId="32" w16cid:durableId="744691868">
    <w:abstractNumId w:val="7"/>
  </w:num>
  <w:num w:numId="33" w16cid:durableId="1846044639">
    <w:abstractNumId w:val="32"/>
  </w:num>
  <w:num w:numId="34" w16cid:durableId="914555982">
    <w:abstractNumId w:val="38"/>
  </w:num>
  <w:num w:numId="35" w16cid:durableId="256796079">
    <w:abstractNumId w:val="6"/>
  </w:num>
  <w:num w:numId="36" w16cid:durableId="1096361332">
    <w:abstractNumId w:val="25"/>
  </w:num>
  <w:num w:numId="37" w16cid:durableId="568227827">
    <w:abstractNumId w:val="37"/>
  </w:num>
  <w:num w:numId="38" w16cid:durableId="333067517">
    <w:abstractNumId w:val="27"/>
  </w:num>
  <w:num w:numId="39" w16cid:durableId="491607443">
    <w:abstractNumId w:val="26"/>
  </w:num>
  <w:num w:numId="40" w16cid:durableId="39672023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2B2C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546E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086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2BFF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055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D7E25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1064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REINHARTD UDO MUNZENMAYER BRAVO</cp:lastModifiedBy>
  <cp:revision>43</cp:revision>
  <cp:lastPrinted>2019-12-16T20:10:00Z</cp:lastPrinted>
  <dcterms:created xsi:type="dcterms:W3CDTF">2021-12-31T12:50:00Z</dcterms:created>
  <dcterms:modified xsi:type="dcterms:W3CDTF">2026-10-12T18:24:00Z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