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DUOC UC — ESCUELA DE INFORMÁTICA Y TELECOMUNICACIONES</w:t>
      </w:r>
    </w:p>
    <w:p>
      <w:pPr>
        <w:spacing w:after="200" w:before="0"/>
        <w:jc w:val="center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[Espacio reservado para logo institucional DUOC UC]</w:t>
      </w:r>
    </w:p>
    <w:p>
      <w:pPr>
        <w:spacing w:after="80" w:before="0"/>
        <w:jc w:val="center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PRODUCT VISION</w:t>
      </w:r>
    </w:p>
    <w:p>
      <w:pPr>
        <w:spacing w:after="300" w:before="0"/>
        <w:jc w:val="center"/>
      </w:pPr>
      <w:r>
        <w:rPr>
          <w:sz w:val="24"/>
          <w:szCs w:val="24"/>
          <w:rFonts w:ascii="Calibri" w:cs="Calibri" w:eastAsia="Calibri" w:hAnsi="Calibri"/>
        </w:rPr>
        <w:t xml:space="preserve">Proyecto Capstone D-PAY 3.0
Módulo de Integración Multi-Pasarela de Pago Móvil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Asignatura	</w:t>
      </w:r>
      <w:r>
        <w:rPr>
          <w:sz w:val="22"/>
          <w:szCs w:val="22"/>
          <w:rFonts w:ascii="Calibri" w:cs="Calibri" w:eastAsia="Calibri" w:hAnsi="Calibri"/>
        </w:rPr>
        <w:t xml:space="preserve">DSY1102 / PTY4614-001V — Capstone (Sección 001)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Empresa mandante	</w:t>
      </w:r>
      <w:r>
        <w:rPr>
          <w:sz w:val="22"/>
          <w:szCs w:val="22"/>
          <w:rFonts w:ascii="Calibri" w:cs="Calibri" w:eastAsia="Calibri" w:hAnsi="Calibri"/>
        </w:rPr>
        <w:t xml:space="preserve">DTemite SpA — plataforma SaaS de facturación electrónica y pagos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Contacto / líder empresa	</w:t>
      </w:r>
      <w:r>
        <w:rPr>
          <w:sz w:val="22"/>
          <w:szCs w:val="22"/>
          <w:rFonts w:ascii="Calibri" w:cs="Calibri" w:eastAsia="Calibri" w:hAnsi="Calibri"/>
        </w:rPr>
        <w:t xml:space="preserve">José Robles Rocha — Product Owner / enlace técnico-comercial con el equipo Capstone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Equipo de proyecto	</w:t>
      </w:r>
      <w:r>
        <w:rPr>
          <w:sz w:val="22"/>
          <w:szCs w:val="22"/>
          <w:rFonts w:ascii="Calibri" w:cs="Calibri" w:eastAsia="Calibri" w:hAnsi="Calibri"/>
        </w:rPr>
        <w:t xml:space="preserve">Diego Madrid (desarrollo/integración), Pablo Gutiérrez (arquitectura/Scrum Master), Reinhartd Munzenmayer (QA/documentación)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Product Owner	</w:t>
      </w:r>
      <w:r>
        <w:rPr>
          <w:sz w:val="22"/>
          <w:szCs w:val="22"/>
          <w:rFonts w:ascii="Calibri" w:cs="Calibri" w:eastAsia="Calibri" w:hAnsi="Calibri"/>
        </w:rPr>
        <w:t xml:space="preserve">José Robles Rocha (DTemite)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Scrum Master	</w:t>
      </w:r>
      <w:r>
        <w:rPr>
          <w:sz w:val="22"/>
          <w:szCs w:val="22"/>
          <w:rFonts w:ascii="Calibri" w:cs="Calibri" w:eastAsia="Calibri" w:hAnsi="Calibri"/>
        </w:rPr>
        <w:t xml:space="preserve">Pablo Gutiérrez (equipo Capstone)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Docente guía	</w:t>
      </w:r>
      <w:r>
        <w:rPr>
          <w:sz w:val="22"/>
          <w:szCs w:val="22"/>
          <w:rFonts w:ascii="Calibri" w:cs="Calibri" w:eastAsia="Calibri" w:hAnsi="Calibri"/>
        </w:rPr>
        <w:t xml:space="preserve">Fabián Alcántara Guajardo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Metodología	</w:t>
      </w:r>
      <w:r>
        <w:rPr>
          <w:sz w:val="22"/>
          <w:szCs w:val="22"/>
          <w:rFonts w:ascii="Calibri" w:cs="Calibri" w:eastAsia="Calibri" w:hAnsi="Calibri"/>
        </w:rPr>
        <w:t xml:space="preserve">Scrum — sprints de 2 semanas, 18 semanas totales (Semestre 2026-2)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Repositorio	</w:t>
      </w:r>
      <w:r>
        <w:rPr>
          <w:sz w:val="22"/>
          <w:szCs w:val="22"/>
          <w:rFonts w:ascii="Calibri" w:cs="Calibri" w:eastAsia="Calibri" w:hAnsi="Calibri"/>
        </w:rPr>
        <w:t xml:space="preserve">github.com/DeboradorDeMundos/dpay_3.0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Fecha	</w:t>
      </w:r>
      <w:r>
        <w:rPr>
          <w:sz w:val="22"/>
          <w:szCs w:val="22"/>
          <w:rFonts w:ascii="Calibri" w:cs="Calibri" w:eastAsia="Calibri" w:hAnsi="Calibri"/>
        </w:rPr>
        <w:t xml:space="preserve">Agosto 2026 — Fase 1 (Semanas 1-4)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Revisión	</w:t>
      </w:r>
      <w:r>
        <w:rPr>
          <w:sz w:val="22"/>
          <w:szCs w:val="22"/>
          <w:rFonts w:ascii="Calibri" w:cs="Calibri" w:eastAsia="Calibri" w:hAnsi="Calibri"/>
        </w:rPr>
        <w:t xml:space="preserve">v1.0 — Documento completo validado por el equipo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1"/>
        <w:spacing w:before="240" w:after="120"/>
      </w:pPr>
      <w:r>
        <w:t xml:space="preserve">1. Problema u Oportunidad</w:t>
      </w:r>
    </w:p>
    <w:p>
      <w:pPr>
        <w:pStyle w:val="Heading2"/>
        <w:spacing w:before="240" w:after="120"/>
      </w:pPr>
      <w:r>
        <w:t xml:space="preserve">1.1 Situación actual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D-PAY 3.0 es un sistema POS (Punto de Venta) móvil desarrollado en React Native 0.75.5 + TypeScript, en producción comercial, orientado a la emisión de Documentos Tributarios Electrónicos (DTE) conforme a la normativa del SII chileno, con soporte de pagos con tarjeta, gestión de ventas offline/online e impresión térmica Bluetooth.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El sistema se integra con el ecosistema DTemite: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API REST (pro.dtemite.cl/api): autenticación JWT, catálogo, clientes, CAFs, comisiones, historial y registro de transacciones en tbl_dpay.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API Legacy PHP (sistema.dtemite.cl): emisión de boletas, facturas y notas de crédito al SII.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TUU Negocio (Haulmer): pasarela de pago en terminales Kozen P8 Neo vía Intent Android nativo.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DTemite Payment Hub: cobros cloud-to-cloud desde sistemas externos (ej. SACMED) hacia el terminal D-PAY.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El flujo comercial completo ya opera en producción: venta → cobro TUU/efectivo → emisión DTE → registro en base de datos → historial, anulaciones e impresión.</w:t>
      </w:r>
    </w:p>
    <w:p>
      <w:pPr>
        <w:pStyle w:val="Heading2"/>
        <w:spacing w:before="240" w:after="120"/>
      </w:pPr>
      <w:r>
        <w:t xml:space="preserve">1.2 Limitación estructural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Actualmente, el cobro con tarjeta de crédito o débito solo funciona en terminales dedicados Kozen (modelo P8 Neo), con la app TUU Negocio instalada. Esta dependencia genera una restricción: D-PAY no puede operar como solución de cobro con tarjeta en un smartphone Android o iOS genérico.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Consecuencias de negocio: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Restringe la adopción a comercios que invierten en hardware Kozen (USD 200–400 por terminal).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Impide vender D-PAY como solución "solo celular" a microempresas, ferias, delivery o vendedores móviles.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El comercio con celular convencional solo puede emitir DTE en efectivo, no cobrar con tarjeta.</w:t>
      </w:r>
    </w:p>
    <w:p>
      <w:pPr>
        <w:pStyle w:val="Heading2"/>
        <w:spacing w:before="240" w:after="120"/>
      </w:pPr>
      <w:r>
        <w:t xml:space="preserve">1.3 Oportunidad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Evolucionar la arquitectura de pagos hacia un modelo desacoplado del hardware, incorporando pasarelas de pago web. Prioridad Capstone: Transbank Webpay (sandbox). Extensiones futuras: Flow, Mercado Pago, PayPal.</w:t>
      </w:r>
    </w:p>
    <w:p>
      <w:pPr>
        <w:pStyle w:val="Heading1"/>
        <w:spacing w:before="240" w:after="120"/>
      </w:pPr>
      <w:r>
        <w:t xml:space="preserve">2. Objetivos</w:t>
      </w:r>
    </w:p>
    <w:p>
      <w:pPr>
        <w:pStyle w:val="Heading2"/>
        <w:spacing w:before="240" w:after="120"/>
      </w:pPr>
      <w:r>
        <w:t xml:space="preserve">Objetivo general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Convertir D-PAY 3.0 en un sistema de cobro multi-pasarela, desacoplando el módulo de pagos del hardware Kozen/TUU mediante una arquitectura extensible (PaymentGateway) que permita incorporar distintos proveedores de pago, habilitando el cobro con tarjeta también en dispositivos móviles genéricos.</w:t>
      </w:r>
    </w:p>
    <w:p>
      <w:pPr>
        <w:pStyle w:val="Heading2"/>
        <w:spacing w:before="240" w:after="120"/>
      </w:pPr>
      <w:r>
        <w:t xml:space="preserve">Objetivos específicos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OE-01: Diseñar detección automática del tipo de dispositivo (terminal Kozen vs. smartphone genérico).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OE-02: Definir contrato de abstracción PaymentGateway (patrón Strategy/Adaptador) extensible a nuevas pasarelas.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OE-03: Integrar Transbank Webpay como primera pasarela web en ambiente sandbox/integración.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OE-04: Diseñar interfaz de usuario para selección de pasarela al cobrar con tarjeta.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OE-05: Documentar diseño técnico completo y validar factibilidad en 18 semanas de Capstone.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OE-06: Mantener compatibilidad con flujo TUU existente en terminal Kozen sin regresiones.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OE-07: Registrar transacciones Webpay en tbl_dpay vía API REST DTemite (POST /pos/transaccion).</w:t>
      </w:r>
    </w:p>
    <w:p>
      <w:pPr>
        <w:pStyle w:val="Heading1"/>
        <w:spacing w:before="240" w:after="120"/>
      </w:pPr>
      <w:r>
        <w:t xml:space="preserve">3. Usuarios / Stakeholders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Dtemite — empresa mandante y propietaria del sistema productivo D-PAY. Contacto: José Robles Rocha.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Comercios usuarios de D-PAY sin terminal Kozen — beneficiarios directos de cobro con tarjeta desde celular.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Comercios con terminal Kozen — deben mantener flujo TUU sin cambios.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Clientes finales — realizan el pago con tarjeta vía pasarela integrada.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Integradores externos (ej. SACMED) — envían cobros vía DTemite Payment Hub.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Equipo Capstone — Diego Madrid, Pablo Gutiérrez, Reinhartd Munzenmayer.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Docente guía — Fabián Alcántara Guajardo.</w:t>
      </w:r>
    </w:p>
    <w:p>
      <w:pPr>
        <w:pStyle w:val="Heading1"/>
        <w:spacing w:before="240" w:after="120"/>
      </w:pPr>
      <w:r>
        <w:t xml:space="preserve">4. Alcance del MVP</w:t>
      </w:r>
    </w:p>
    <w:p>
      <w:pPr>
        <w:pStyle w:val="Heading2"/>
        <w:spacing w:before="240" w:after="120"/>
      </w:pPr>
      <w:r>
        <w:t xml:space="preserve">Incluye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Módulo PaymentGateway: selección automática TUU (POS Kozen) o Webpay (celular genérico).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Detección de dispositivo y persistencia en sesión (settingsStore).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Integración funcional Transbank Webpay en sandbox.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Pantalla de selección de pasarela en flujo de venta (PaymentMethodScreen).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Registro de transacciones Webpay en tbl_dpay.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Documentación técnica (carpeta docs/) y pruebas funcionales documentadas.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Mantenimiento del baseline: login, venta, DTE, historial, impresión, TUU Kozen.</w:t>
      </w:r>
    </w:p>
    <w:p>
      <w:pPr>
        <w:pStyle w:val="Heading2"/>
        <w:spacing w:before="240" w:after="120"/>
      </w:pPr>
      <w:r>
        <w:t xml:space="preserve">No incluye (fuera de alcance MVP)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Integración Flow, Mercado Pago, PayPal — diseñadas en backlog futuro.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Paso a producción con credenciales reales Webpay.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Modificaciones al módulo DTE o backend legacy PHP, salvo ajustes mínimos en API REST.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Contenerización Docker — excluida por decisión del equipo.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Integración Webpay en iOS — extensión futura.</w:t>
      </w:r>
    </w:p>
    <w:p>
      <w:pPr>
        <w:pStyle w:val="Heading1"/>
        <w:spacing w:before="240" w:after="120"/>
      </w:pPr>
      <w:r>
        <w:t xml:space="preserve">5. Restricciones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Plazo fijo: 18 semanas (Fase 1: sem. 1-4, Fase 2: sem. 5-15, Fase 3: sem. 16-18).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Stack: React Native 0.75.5, TypeScript, Zustand + MMKV, React Navigation.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Equipo de 3 integrantes.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Repositorio público durante todo el semestre.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Sin Docker.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Webpay debe cumplir documentación oficial Transbank.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Backend DTemite es productivo — cambios mínimos y coordinados con PO.</w:t>
      </w:r>
    </w:p>
    <w:p>
      <w:pPr>
        <w:pStyle w:val="Heading1"/>
        <w:spacing w:before="240" w:after="120"/>
      </w:pPr>
      <w:r>
        <w:t xml:space="preserve">6. Justificación de la Solución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Este proyecto cumple el criterio de "situación real" del Capstone: parte de un producto comercial operativo respaldado por DTemite, no de un ejercicio académico aislado.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El aporte del equipo — evolucionar pagos hacia multi-pasarela — es un problema de ingeniería genuino: abstracciones (Strategy/Adaptador), integración con terceros (Webpay, TUU), decisiones de arquitectura con impacto en el modelo de negocio.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El módulo PaymentGateway se diseña como contrato extensible: agregar Flow o Mercado Pago no requiere modificar la lógica de venta, solo implementar la interfaz. El MVP demuestra este principio con Webpay; los demás proveedores quedan en el Product Backlog.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Integra competencias del perfil de egreso Duoc UC: desarrollo de software, arquitectura de sistemas, integración de servicios y gestión ágil Scrum.</w:t>
      </w:r>
    </w:p>
    <w:p>
      <w:pPr>
        <w:pStyle w:val="Heading1"/>
        <w:spacing w:before="240" w:after="120"/>
      </w:pPr>
      <w:r>
        <w:t xml:space="preserve">7. Métricas de éxito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Pasarelas soportadas: de 1 (TUU) a 2 (TUU + Webpay).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Dispositivos con cobro tarjeta: Kozen P8 Neo + smartphone Android genérico.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Historias MVP HU-01 a HU-06 completadas al cierre Fase 2.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Cero regresiones críticas en flujo TUU productivo.</w:t>
      </w:r>
    </w:p>
    <w:p>
      <w:pPr>
        <w:pStyle w:val="Heading1"/>
        <w:spacing w:before="240" w:after="120"/>
      </w:pPr>
      <w:r>
        <w:t xml:space="preserve">8. Riesgos principales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Demora credenciales sandbox Webpay → solicitar en Semana 1; usar mock en Sprint 1.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Regresión TUU al refactorizar → mantener TuuPaymentGateway aislado; pruebas Kozen cada sprint.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Equipo de 3 personas → backlog estrictamente priorizado.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spacing w:after="120" w:before="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Documento elaborado por el equipo Capstone D-PAY 3.0 — Duoc UC San Bernardo, 2026.</w:t>
      </w:r>
    </w:p>
    <w:p>
      <w:pPr>
        <w:spacing w:after="120" w:before="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Versión v1.0 — 28 de agosto de 2026. Complementa y reemplaza el borrador v0.1.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2026-08-29T03:22:10.728Z</dcterms:created>
  <dcterms:modified xsi:type="dcterms:W3CDTF">2026-08-29T03:22:10.729Z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