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color w:val="1F3864"/>
          <w:sz w:val="20"/>
          <w:szCs w:val="20"/>
        </w:rPr>
        <w:t xml:space="preserve">DUOC UC — ESCUELA DE INFORMÁTICA Y TELECOMUNICACIONES</w:t>
      </w:r>
    </w:p>
    <w:p>
      <w:pPr>
        <w:spacing w:after="400"/>
      </w:pPr>
      <w:r>
        <w:rPr>
          <w:i/>
          <w:iCs/>
          <w:color w:val="808080"/>
          <w:sz w:val="18"/>
          <w:szCs w:val="18"/>
        </w:rPr>
        <w:t xml:space="preserve">[Espacio reservado para logo institucional DUOC UC]</w:t>
      </w:r>
    </w:p>
    <w:p>
      <w:pPr>
        <w:spacing w:after="100" w:before="1200"/>
        <w:jc w:val="center"/>
      </w:pPr>
      <w:r>
        <w:rPr>
          <w:b/>
          <w:bCs/>
          <w:color w:val="1F3864"/>
          <w:sz w:val="44"/>
          <w:szCs w:val="44"/>
        </w:rPr>
        <w:t xml:space="preserve">PRODUCT VISION</w:t>
      </w:r>
    </w:p>
    <w:p>
      <w:pPr>
        <w:spacing w:after="100"/>
        <w:jc w:val="center"/>
      </w:pPr>
      <w:r>
        <w:rPr>
          <w:b/>
          <w:bCs/>
          <w:sz w:val="30"/>
          <w:szCs w:val="30"/>
        </w:rPr>
        <w:t xml:space="preserve">Proyecto Capstone D-PAY 3.0</w:t>
      </w:r>
    </w:p>
    <w:p>
      <w:pPr>
        <w:spacing w:after="600"/>
        <w:jc w:val="center"/>
      </w:pPr>
      <w:r>
        <w:rPr>
          <w:color w:val="1F3864"/>
          <w:sz w:val="26"/>
          <w:szCs w:val="26"/>
        </w:rPr>
        <w:t xml:space="preserve">Módulo de Integración Multi-Pasarela de Pago Móvil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00"/>
              <w:bottom w:type="dxa" w:w="100"/>
              <w:right w:type="dxa" w:w="100"/>
            </w:tcMar>
            <w:vAlign w:val="center"/>
          </w:tcPr>
          <w:p>
            <w:r>
              <w:rPr>
                <w:b/>
                <w:bCs/>
                <w:sz w:val="20"/>
                <w:szCs w:val="20"/>
              </w:rPr>
              <w:t xml:space="preserve">Asignatura</w:t>
            </w:r>
          </w:p>
        </w:tc>
        <w:tc>
          <w:tcPr>
            <w:tcW w:type="dxa" w:w="6500"/>
            <w:tcMar>
              <w:top w:type="dxa" w:w="100"/>
              <w:left w:type="dxa" w:w="100"/>
              <w:bottom w:type="dxa" w:w="100"/>
              <w:right w:type="dxa" w:w="100"/>
            </w:tcMar>
            <w:vAlign w:val="center"/>
          </w:tcPr>
          <w:p>
            <w:r>
              <w:rPr>
                <w:sz w:val="20"/>
                <w:szCs w:val="20"/>
              </w:rPr>
              <w:t xml:space="preserve">DSY1102 PTY4614-001V — Capstone (Sección 001)</w:t>
            </w:r>
          </w:p>
        </w:tc>
      </w:tr>
      <w:tr>
        <w:tc>
          <w:tcPr>
            <w:tcW w:type="dxa" w:w="3000"/>
            <w:shd w:fill="F2F2F2" w:val="clear"/>
            <w:tcMar>
              <w:top w:type="dxa" w:w="100"/>
              <w:left w:type="dxa" w:w="100"/>
              <w:bottom w:type="dxa" w:w="100"/>
              <w:right w:type="dxa" w:w="100"/>
            </w:tcMar>
            <w:vAlign w:val="center"/>
          </w:tcPr>
          <w:p>
            <w:r>
              <w:rPr>
                <w:b/>
                <w:bCs/>
                <w:sz w:val="20"/>
                <w:szCs w:val="20"/>
              </w:rPr>
              <w:t xml:space="preserve">Empresa mandante</w:t>
            </w:r>
          </w:p>
        </w:tc>
        <w:tc>
          <w:tcPr>
            <w:tcW w:type="dxa" w:w="6500"/>
            <w:tcMar>
              <w:top w:type="dxa" w:w="100"/>
              <w:left w:type="dxa" w:w="100"/>
              <w:bottom w:type="dxa" w:w="100"/>
              <w:right w:type="dxa" w:w="100"/>
            </w:tcMar>
            <w:vAlign w:val="center"/>
          </w:tcPr>
          <w:p>
            <w:r>
              <w:rPr>
                <w:sz w:val="20"/>
                <w:szCs w:val="20"/>
              </w:rPr>
              <w:t xml:space="preserve">Dtemite</w:t>
            </w:r>
          </w:p>
        </w:tc>
      </w:tr>
      <w:tr>
        <w:tc>
          <w:tcPr>
            <w:tcW w:type="dxa" w:w="3000"/>
            <w:shd w:fill="F2F2F2" w:val="clear"/>
            <w:tcMar>
              <w:top w:type="dxa" w:w="100"/>
              <w:left w:type="dxa" w:w="100"/>
              <w:bottom w:type="dxa" w:w="100"/>
              <w:right w:type="dxa" w:w="100"/>
            </w:tcMar>
            <w:vAlign w:val="center"/>
          </w:tcPr>
          <w:p>
            <w:r>
              <w:rPr>
                <w:b/>
                <w:bCs/>
                <w:sz w:val="20"/>
                <w:szCs w:val="20"/>
              </w:rPr>
              <w:t xml:space="preserve">Contacto / líder empresa</w:t>
            </w:r>
          </w:p>
        </w:tc>
        <w:tc>
          <w:tcPr>
            <w:tcW w:type="dxa" w:w="6500"/>
            <w:tcMar>
              <w:top w:type="dxa" w:w="100"/>
              <w:left w:type="dxa" w:w="100"/>
              <w:bottom w:type="dxa" w:w="100"/>
              <w:right w:type="dxa" w:w="100"/>
            </w:tcMar>
            <w:vAlign w:val="center"/>
          </w:tcPr>
          <w:p>
            <w:r>
              <w:rPr>
                <w:sz w:val="20"/>
                <w:szCs w:val="20"/>
              </w:rPr>
              <w:t xml:space="preserve">José Robles Rocha (rol dentro del proyecto: por confirmar)</w:t>
            </w:r>
          </w:p>
        </w:tc>
      </w:tr>
      <w:tr>
        <w:tc>
          <w:tcPr>
            <w:tcW w:type="dxa" w:w="3000"/>
            <w:shd w:fill="F2F2F2" w:val="clear"/>
            <w:tcMar>
              <w:top w:type="dxa" w:w="100"/>
              <w:left w:type="dxa" w:w="100"/>
              <w:bottom w:type="dxa" w:w="100"/>
              <w:right w:type="dxa" w:w="100"/>
            </w:tcMar>
            <w:vAlign w:val="center"/>
          </w:tcPr>
          <w:p>
            <w:r>
              <w:rPr>
                <w:b/>
                <w:bCs/>
                <w:sz w:val="20"/>
                <w:szCs w:val="20"/>
              </w:rPr>
              <w:t xml:space="preserve">Equipo de proyecto</w:t>
            </w:r>
          </w:p>
        </w:tc>
        <w:tc>
          <w:tcPr>
            <w:tcW w:type="dxa" w:w="6500"/>
            <w:tcMar>
              <w:top w:type="dxa" w:w="100"/>
              <w:left w:type="dxa" w:w="100"/>
              <w:bottom w:type="dxa" w:w="100"/>
              <w:right w:type="dxa" w:w="100"/>
            </w:tcMar>
            <w:vAlign w:val="center"/>
          </w:tcPr>
          <w:p>
            <w:r>
              <w:rPr>
                <w:sz w:val="20"/>
                <w:szCs w:val="20"/>
              </w:rPr>
              <w:t xml:space="preserve">Diego Madrid, Pablo Gutiérrez, Reinhard Munzenmayer</w:t>
            </w:r>
          </w:p>
        </w:tc>
      </w:tr>
      <w:tr>
        <w:tc>
          <w:tcPr>
            <w:tcW w:type="dxa" w:w="3000"/>
            <w:shd w:fill="F2F2F2" w:val="clear"/>
            <w:tcMar>
              <w:top w:type="dxa" w:w="100"/>
              <w:left w:type="dxa" w:w="100"/>
              <w:bottom w:type="dxa" w:w="100"/>
              <w:right w:type="dxa" w:w="100"/>
            </w:tcMar>
            <w:vAlign w:val="center"/>
          </w:tcPr>
          <w:p>
            <w:r>
              <w:rPr>
                <w:b/>
                <w:bCs/>
                <w:sz w:val="20"/>
                <w:szCs w:val="20"/>
              </w:rPr>
              <w:t xml:space="preserve">Product Owner</w:t>
            </w:r>
          </w:p>
        </w:tc>
        <w:tc>
          <w:tcPr>
            <w:tcW w:type="dxa" w:w="6500"/>
            <w:tcMar>
              <w:top w:type="dxa" w:w="100"/>
              <w:left w:type="dxa" w:w="100"/>
              <w:bottom w:type="dxa" w:w="100"/>
              <w:right w:type="dxa" w:w="100"/>
            </w:tcMar>
            <w:vAlign w:val="center"/>
          </w:tcPr>
          <w:p>
            <w:r>
              <w:rPr>
                <w:sz w:val="20"/>
                <w:szCs w:val="20"/>
              </w:rPr>
              <w:t xml:space="preserve">Por definir</w:t>
            </w:r>
          </w:p>
        </w:tc>
      </w:tr>
      <w:tr>
        <w:tc>
          <w:tcPr>
            <w:tcW w:type="dxa" w:w="3000"/>
            <w:shd w:fill="F2F2F2" w:val="clear"/>
            <w:tcMar>
              <w:top w:type="dxa" w:w="100"/>
              <w:left w:type="dxa" w:w="100"/>
              <w:bottom w:type="dxa" w:w="100"/>
              <w:right w:type="dxa" w:w="100"/>
            </w:tcMar>
            <w:vAlign w:val="center"/>
          </w:tcPr>
          <w:p>
            <w:r>
              <w:rPr>
                <w:b/>
                <w:bCs/>
                <w:sz w:val="20"/>
                <w:szCs w:val="20"/>
              </w:rPr>
              <w:t xml:space="preserve">Scrum Master</w:t>
            </w:r>
          </w:p>
        </w:tc>
        <w:tc>
          <w:tcPr>
            <w:tcW w:type="dxa" w:w="6500"/>
            <w:tcMar>
              <w:top w:type="dxa" w:w="100"/>
              <w:left w:type="dxa" w:w="100"/>
              <w:bottom w:type="dxa" w:w="100"/>
              <w:right w:type="dxa" w:w="100"/>
            </w:tcMar>
            <w:vAlign w:val="center"/>
          </w:tcPr>
          <w:p>
            <w:r>
              <w:rPr>
                <w:sz w:val="20"/>
                <w:szCs w:val="20"/>
              </w:rPr>
              <w:t xml:space="preserve">Por definir</w:t>
            </w:r>
          </w:p>
        </w:tc>
      </w:tr>
      <w:tr>
        <w:tc>
          <w:tcPr>
            <w:tcW w:type="dxa" w:w="3000"/>
            <w:shd w:fill="F2F2F2" w:val="clear"/>
            <w:tcMar>
              <w:top w:type="dxa" w:w="100"/>
              <w:left w:type="dxa" w:w="100"/>
              <w:bottom w:type="dxa" w:w="100"/>
              <w:right w:type="dxa" w:w="100"/>
            </w:tcMar>
            <w:vAlign w:val="center"/>
          </w:tcPr>
          <w:p>
            <w:r>
              <w:rPr>
                <w:b/>
                <w:bCs/>
                <w:sz w:val="20"/>
                <w:szCs w:val="20"/>
              </w:rPr>
              <w:t xml:space="preserve">Docente guía</w:t>
            </w:r>
          </w:p>
        </w:tc>
        <w:tc>
          <w:tcPr>
            <w:tcW w:type="dxa" w:w="6500"/>
            <w:tcMar>
              <w:top w:type="dxa" w:w="100"/>
              <w:left w:type="dxa" w:w="100"/>
              <w:bottom w:type="dxa" w:w="100"/>
              <w:right w:type="dxa" w:w="100"/>
            </w:tcMar>
            <w:vAlign w:val="center"/>
          </w:tcPr>
          <w:p>
            <w:r>
              <w:rPr>
                <w:sz w:val="20"/>
                <w:szCs w:val="20"/>
              </w:rPr>
              <w:t xml:space="preserve">Fabián Alcántara Guajardo</w:t>
            </w:r>
          </w:p>
        </w:tc>
      </w:tr>
      <w:tr>
        <w:tc>
          <w:tcPr>
            <w:tcW w:type="dxa" w:w="3000"/>
            <w:shd w:fill="F2F2F2" w:val="clear"/>
            <w:tcMar>
              <w:top w:type="dxa" w:w="100"/>
              <w:left w:type="dxa" w:w="100"/>
              <w:bottom w:type="dxa" w:w="100"/>
              <w:right w:type="dxa" w:w="100"/>
            </w:tcMar>
            <w:vAlign w:val="center"/>
          </w:tcPr>
          <w:p>
            <w:r>
              <w:rPr>
                <w:b/>
                <w:bCs/>
                <w:sz w:val="20"/>
                <w:szCs w:val="20"/>
              </w:rPr>
              <w:t xml:space="preserve">Metodología</w:t>
            </w:r>
          </w:p>
        </w:tc>
        <w:tc>
          <w:tcPr>
            <w:tcW w:type="dxa" w:w="6500"/>
            <w:tcMar>
              <w:top w:type="dxa" w:w="100"/>
              <w:left w:type="dxa" w:w="100"/>
              <w:bottom w:type="dxa" w:w="100"/>
              <w:right w:type="dxa" w:w="100"/>
            </w:tcMar>
            <w:vAlign w:val="center"/>
          </w:tcPr>
          <w:p>
            <w:r>
              <w:rPr>
                <w:sz w:val="20"/>
                <w:szCs w:val="20"/>
              </w:rPr>
              <w:t xml:space="preserve">Scrum</w:t>
            </w:r>
          </w:p>
        </w:tc>
      </w:tr>
      <w:tr>
        <w:tc>
          <w:tcPr>
            <w:tcW w:type="dxa" w:w="3000"/>
            <w:shd w:fill="F2F2F2" w:val="clear"/>
            <w:tcMar>
              <w:top w:type="dxa" w:w="100"/>
              <w:left w:type="dxa" w:w="100"/>
              <w:bottom w:type="dxa" w:w="100"/>
              <w:right w:type="dxa" w:w="100"/>
            </w:tcMar>
            <w:vAlign w:val="center"/>
          </w:tcPr>
          <w:p>
            <w:r>
              <w:rPr>
                <w:b/>
                <w:bCs/>
                <w:sz w:val="20"/>
                <w:szCs w:val="20"/>
              </w:rPr>
              <w:t xml:space="preserve">Repositorio</w:t>
            </w:r>
          </w:p>
        </w:tc>
        <w:tc>
          <w:tcPr>
            <w:tcW w:type="dxa" w:w="6500"/>
            <w:tcMar>
              <w:top w:type="dxa" w:w="100"/>
              <w:left w:type="dxa" w:w="100"/>
              <w:bottom w:type="dxa" w:w="100"/>
              <w:right w:type="dxa" w:w="100"/>
            </w:tcMar>
            <w:vAlign w:val="center"/>
          </w:tcPr>
          <w:p>
            <w:r>
              <w:rPr>
                <w:sz w:val="20"/>
                <w:szCs w:val="20"/>
              </w:rPr>
              <w:t xml:space="preserve">github.com/DeboradorDeMundos/dpay_3.0</w:t>
            </w:r>
          </w:p>
        </w:tc>
      </w:tr>
      <w:tr>
        <w:tc>
          <w:tcPr>
            <w:tcW w:type="dxa" w:w="3000"/>
            <w:shd w:fill="F2F2F2" w:val="clear"/>
            <w:tcMar>
              <w:top w:type="dxa" w:w="100"/>
              <w:left w:type="dxa" w:w="100"/>
              <w:bottom w:type="dxa" w:w="100"/>
              <w:right w:type="dxa" w:w="100"/>
            </w:tcMar>
            <w:vAlign w:val="center"/>
          </w:tcPr>
          <w:p>
            <w:r>
              <w:rPr>
                <w:b/>
                <w:bCs/>
                <w:sz w:val="20"/>
                <w:szCs w:val="20"/>
              </w:rPr>
              <w:t xml:space="preserve">Fecha</w:t>
            </w:r>
          </w:p>
        </w:tc>
        <w:tc>
          <w:tcPr>
            <w:tcW w:type="dxa" w:w="6500"/>
            <w:tcMar>
              <w:top w:type="dxa" w:w="100"/>
              <w:left w:type="dxa" w:w="100"/>
              <w:bottom w:type="dxa" w:w="100"/>
              <w:right w:type="dxa" w:w="100"/>
            </w:tcMar>
            <w:vAlign w:val="center"/>
          </w:tcPr>
          <w:p>
            <w:r>
              <w:rPr>
                <w:sz w:val="20"/>
                <w:szCs w:val="20"/>
              </w:rPr>
              <w:t xml:space="preserve">Semana 1-4, 2026-2</w:t>
            </w:r>
          </w:p>
        </w:tc>
      </w:tr>
      <w:tr>
        <w:tc>
          <w:tcPr>
            <w:tcW w:type="dxa" w:w="3000"/>
            <w:shd w:fill="F2F2F2" w:val="clear"/>
            <w:tcMar>
              <w:top w:type="dxa" w:w="100"/>
              <w:left w:type="dxa" w:w="100"/>
              <w:bottom w:type="dxa" w:w="100"/>
              <w:right w:type="dxa" w:w="100"/>
            </w:tcMar>
            <w:vAlign w:val="center"/>
          </w:tcPr>
          <w:p>
            <w:r>
              <w:rPr>
                <w:b/>
                <w:bCs/>
                <w:sz w:val="20"/>
                <w:szCs w:val="20"/>
              </w:rPr>
              <w:t xml:space="preserve">Revisión</w:t>
            </w:r>
          </w:p>
        </w:tc>
        <w:tc>
          <w:tcPr>
            <w:tcW w:type="dxa" w:w="6500"/>
            <w:tcMar>
              <w:top w:type="dxa" w:w="100"/>
              <w:left w:type="dxa" w:w="100"/>
              <w:bottom w:type="dxa" w:w="100"/>
              <w:right w:type="dxa" w:w="100"/>
            </w:tcMar>
            <w:vAlign w:val="center"/>
          </w:tcPr>
          <w:p>
            <w:r>
              <w:rPr>
                <w:sz w:val="20"/>
                <w:szCs w:val="20"/>
              </w:rPr>
              <w:t xml:space="preserve">v0.1 — Borrador de trabajo</w:t>
            </w:r>
          </w:p>
        </w:tc>
      </w:tr>
    </w:tbl>
    <w:p>
      <w:r>
        <w:br w:type="page"/>
      </w:r>
    </w:p>
    <w:p>
      <w:pPr>
        <w:pStyle w:val="Heading1"/>
        <w:spacing w:after="150" w:before="300"/>
      </w:pPr>
      <w:r>
        <w:rPr>
          <w:b/>
          <w:bCs/>
          <w:color w:val="1F3864"/>
          <w:sz w:val="28"/>
          <w:szCs w:val="28"/>
        </w:rPr>
        <w:t xml:space="preserve">1. Problema u Oportunidad</w:t>
      </w:r>
    </w:p>
    <w:p>
      <w:pPr>
        <w:spacing w:after="120"/>
      </w:pPr>
      <w:r>
        <w:rPr>
          <w:sz w:val="22"/>
          <w:szCs w:val="22"/>
        </w:rPr>
        <w:t xml:space="preserve">D-PAY 3.0 es un sistema POS (Punto de Venta) móvil desarrollado en React Native, en producción, orientado a la emisión de Documentos Tributarios Electrónicos (DTE) conforme a la normativa del SII, con soporte de pagos con tarjeta y gestión de ventas offline/online.</w:t>
      </w:r>
    </w:p>
    <w:p>
      <w:pPr>
        <w:spacing w:after="120"/>
      </w:pPr>
      <w:r>
        <w:rPr>
          <w:sz w:val="22"/>
          <w:szCs w:val="22"/>
        </w:rPr>
        <w:t xml:space="preserve">Actualmente, el cobro con tarjeta de crédito o débito solo funciona en terminales dedicados de la marca Kozen (modelo P8 Neo), a través de la app TUU Negocio (Haulmer), integrada mediante un Intent nativo de Android exclusivo de ese hardware.</w:t>
      </w:r>
    </w:p>
    <w:p>
      <w:pPr>
        <w:spacing w:after="120"/>
      </w:pPr>
      <w:r>
        <w:rPr>
          <w:sz w:val="22"/>
          <w:szCs w:val="22"/>
        </w:rPr>
        <w:t xml:space="preserve">Esta dependencia genera una limitación estructural: D-PAY no puede operar como solución de cobro con tarjeta en un smartphone Android o iOS genérico, sin terminal TUU embebido. Esto restringe la adopción del sistema a comercios que ya cuentan con hardware Kozen, dejando fuera a comercios que solo disponen de un celular convencional.</w:t>
      </w:r>
    </w:p>
    <w:p>
      <w:pPr>
        <w:spacing w:after="120"/>
      </w:pPr>
      <w:r>
        <w:rPr>
          <w:sz w:val="22"/>
          <w:szCs w:val="22"/>
        </w:rPr>
        <w:t xml:space="preserve">La oportunidad consiste en evolucionar la arquitectura de pagos de D-PAY hacia un modelo desacoplado del hardware, incorporando pasarelas de pago web (Transbank Webpay como prioridad, con Flow como alternativa) que permitan cobrar con tarjeta desde cualquier dispositivo móvil, sin depender de un terminal físico especializado.</w:t>
      </w:r>
    </w:p>
    <w:p>
      <w:pPr>
        <w:pStyle w:val="Heading1"/>
        <w:spacing w:after="150" w:before="300"/>
      </w:pPr>
      <w:r>
        <w:rPr>
          <w:b/>
          <w:bCs/>
          <w:color w:val="1F3864"/>
          <w:sz w:val="28"/>
          <w:szCs w:val="28"/>
        </w:rPr>
        <w:t xml:space="preserve">2. Objetivos</w:t>
      </w:r>
    </w:p>
    <w:p>
      <w:pPr>
        <w:spacing w:after="120"/>
      </w:pPr>
      <w:r>
        <w:rPr>
          <w:b/>
          <w:bCs/>
          <w:sz w:val="22"/>
          <w:szCs w:val="22"/>
        </w:rPr>
        <w:t xml:space="preserve">Objetivo general:</w:t>
      </w:r>
    </w:p>
    <w:p>
      <w:pPr>
        <w:spacing w:after="120"/>
      </w:pPr>
      <w:r>
        <w:rPr>
          <w:sz w:val="22"/>
          <w:szCs w:val="22"/>
        </w:rPr>
        <w:t xml:space="preserve">Convertir D-PAY 3.0 en un sistema de cobro multi-pasarela, desacoplando el módulo de pagos del hardware específico Kozen/TUU mediante una arquitectura extensible que permita incorporar distintos proveedores de pago (Webpay, y en iteraciones futuras Flow, MercadoLibre, PayPal, entre otros), habilitando el cobro con tarjeta también en dispositivos móviles genéricos.</w:t>
      </w:r>
    </w:p>
    <w:p>
      <w:pPr>
        <w:spacing w:after="120"/>
      </w:pPr>
      <w:r>
        <w:rPr>
          <w:b/>
          <w:bCs/>
          <w:sz w:val="22"/>
          <w:szCs w:val="22"/>
        </w:rPr>
        <w:t xml:space="preserve">Objetivos específicos:</w:t>
      </w:r>
    </w:p>
    <w:p>
      <w:pPr>
        <w:pStyle w:val="ListParagraph"/>
        <w:numPr>
          <w:ilvl w:val="0"/>
          <w:numId w:val="1"/>
        </w:numPr>
        <w:spacing w:after="80"/>
      </w:pPr>
      <w:r>
        <w:rPr>
          <w:sz w:val="22"/>
          <w:szCs w:val="22"/>
        </w:rPr>
        <w:t xml:space="preserve">Diseñar un mecanismo de detección del tipo de dispositivo (terminal POS Kozen vs. smartphone genérico) para seleccionar automáticamente el proveedor de pago correspondiente.</w:t>
      </w:r>
    </w:p>
    <w:p>
      <w:pPr>
        <w:pStyle w:val="ListParagraph"/>
        <w:numPr>
          <w:ilvl w:val="0"/>
          <w:numId w:val="1"/>
        </w:numPr>
        <w:spacing w:after="80"/>
      </w:pPr>
      <w:r>
        <w:rPr>
          <w:sz w:val="22"/>
          <w:szCs w:val="22"/>
        </w:rPr>
        <w:t xml:space="preserve">Definir un contrato de abstracción de pagos (adaptador de pasarela) que permita agregar nuevos proveedores sin modificar la lógica de venta existente.</w:t>
      </w:r>
    </w:p>
    <w:p>
      <w:pPr>
        <w:pStyle w:val="ListParagraph"/>
        <w:numPr>
          <w:ilvl w:val="0"/>
          <w:numId w:val="1"/>
        </w:numPr>
        <w:spacing w:after="80"/>
      </w:pPr>
      <w:r>
        <w:rPr>
          <w:sz w:val="22"/>
          <w:szCs w:val="22"/>
        </w:rPr>
        <w:t xml:space="preserve">Integrar Transbank Webpay como primera pasarela de pago web, en ambiente de pruebas (sandbox).</w:t>
      </w:r>
    </w:p>
    <w:p>
      <w:pPr>
        <w:pStyle w:val="ListParagraph"/>
        <w:numPr>
          <w:ilvl w:val="0"/>
          <w:numId w:val="1"/>
        </w:numPr>
        <w:spacing w:after="80"/>
      </w:pPr>
      <w:r>
        <w:rPr>
          <w:sz w:val="22"/>
          <w:szCs w:val="22"/>
        </w:rPr>
        <w:t xml:space="preserve">Diseñar la interfaz de usuario para la selección de pasarela de pago al momento de cobrar con tarjeta.</w:t>
      </w:r>
    </w:p>
    <w:p>
      <w:pPr>
        <w:pStyle w:val="ListParagraph"/>
        <w:numPr>
          <w:ilvl w:val="0"/>
          <w:numId w:val="1"/>
        </w:numPr>
        <w:spacing w:after="80"/>
      </w:pPr>
      <w:r>
        <w:rPr>
          <w:sz w:val="22"/>
          <w:szCs w:val="22"/>
        </w:rPr>
        <w:t xml:space="preserve">Documentar el diseño técnico y validar su factibilidad de implementación dentro del plazo de la asignatura Capstone (18 semanas).</w:t>
      </w:r>
    </w:p>
    <w:p>
      <w:pPr>
        <w:pStyle w:val="Heading1"/>
        <w:spacing w:after="150" w:before="300"/>
      </w:pPr>
      <w:r>
        <w:rPr>
          <w:b/>
          <w:bCs/>
          <w:color w:val="1F3864"/>
          <w:sz w:val="28"/>
          <w:szCs w:val="28"/>
        </w:rPr>
        <w:t xml:space="preserve">3. Usuarios / Stakeholders</w:t>
      </w:r>
    </w:p>
    <w:p>
      <w:pPr>
        <w:pStyle w:val="ListParagraph"/>
        <w:numPr>
          <w:ilvl w:val="0"/>
          <w:numId w:val="1"/>
        </w:numPr>
        <w:spacing w:after="80"/>
      </w:pPr>
      <w:r>
        <w:rPr>
          <w:sz w:val="22"/>
          <w:szCs w:val="22"/>
        </w:rPr>
        <w:t xml:space="preserve">Dtemite — empresa mandante y propietaria del sistema productivo D-PAY. Contacto: José Robles Rocha.</w:t>
      </w:r>
    </w:p>
    <w:p>
      <w:pPr>
        <w:pStyle w:val="ListParagraph"/>
        <w:numPr>
          <w:ilvl w:val="0"/>
          <w:numId w:val="1"/>
        </w:numPr>
        <w:spacing w:after="80"/>
      </w:pPr>
      <w:r>
        <w:rPr>
          <w:sz w:val="22"/>
          <w:szCs w:val="22"/>
        </w:rPr>
        <w:t xml:space="preserve">Comercios usuarios de D-PAY sin terminal Kozen — beneficiarios directos de la nueva capacidad de cobro con tarjeta desde celular genérico.</w:t>
      </w:r>
    </w:p>
    <w:p>
      <w:pPr>
        <w:pStyle w:val="ListParagraph"/>
        <w:numPr>
          <w:ilvl w:val="0"/>
          <w:numId w:val="1"/>
        </w:numPr>
        <w:spacing w:after="80"/>
      </w:pPr>
      <w:r>
        <w:rPr>
          <w:sz w:val="22"/>
          <w:szCs w:val="22"/>
        </w:rPr>
        <w:t xml:space="preserve">Clientes finales de dichos comercios — realizan el pago con tarjeta a través de la pasarela integrada.</w:t>
      </w:r>
    </w:p>
    <w:p>
      <w:pPr>
        <w:pStyle w:val="ListParagraph"/>
        <w:numPr>
          <w:ilvl w:val="0"/>
          <w:numId w:val="1"/>
        </w:numPr>
        <w:spacing w:after="80"/>
      </w:pPr>
      <w:r>
        <w:rPr>
          <w:sz w:val="22"/>
          <w:szCs w:val="22"/>
        </w:rPr>
        <w:t xml:space="preserve">Equipo de proyecto Capstone — Diego Madrid, Pablo Gutiérrez y Reinhard Munzenmayer, responsables del diseño e implementación.</w:t>
      </w:r>
    </w:p>
    <w:p>
      <w:pPr>
        <w:pStyle w:val="ListParagraph"/>
        <w:numPr>
          <w:ilvl w:val="0"/>
          <w:numId w:val="1"/>
        </w:numPr>
        <w:spacing w:after="80"/>
      </w:pPr>
      <w:r>
        <w:rPr>
          <w:sz w:val="22"/>
          <w:szCs w:val="22"/>
        </w:rPr>
        <w:t xml:space="preserve">Docente guía — Fabián Alcántara Guajardo, acompaña y evalúa el proceso de desarrollo y documentación.</w:t>
      </w:r>
    </w:p>
    <w:p>
      <w:pPr>
        <w:pStyle w:val="Heading1"/>
        <w:spacing w:after="150" w:before="300"/>
      </w:pPr>
      <w:r>
        <w:rPr>
          <w:b/>
          <w:bCs/>
          <w:color w:val="1F3864"/>
          <w:sz w:val="28"/>
          <w:szCs w:val="28"/>
        </w:rPr>
        <w:t xml:space="preserve">4. Alcance del MVP</w:t>
      </w:r>
    </w:p>
    <w:p>
      <w:pPr>
        <w:spacing w:after="120"/>
      </w:pPr>
      <w:r>
        <w:rPr>
          <w:b/>
          <w:bCs/>
          <w:sz w:val="22"/>
          <w:szCs w:val="22"/>
        </w:rPr>
        <w:t xml:space="preserve">Incluye:</w:t>
      </w:r>
    </w:p>
    <w:p>
      <w:pPr>
        <w:pStyle w:val="ListParagraph"/>
        <w:numPr>
          <w:ilvl w:val="0"/>
          <w:numId w:val="1"/>
        </w:numPr>
        <w:spacing w:after="80"/>
      </w:pPr>
      <w:r>
        <w:rPr>
          <w:sz w:val="22"/>
          <w:szCs w:val="22"/>
        </w:rPr>
        <w:t xml:space="preserve">Módulo `PaymentGateway`: capa de abstracción que decide el proveedor de pago (TUU en POS Kozen, Webpay en celular genérico) según el dispositivo detectado.</w:t>
      </w:r>
    </w:p>
    <w:p>
      <w:pPr>
        <w:pStyle w:val="ListParagraph"/>
        <w:numPr>
          <w:ilvl w:val="0"/>
          <w:numId w:val="1"/>
        </w:numPr>
        <w:spacing w:after="80"/>
      </w:pPr>
      <w:r>
        <w:rPr>
          <w:sz w:val="22"/>
          <w:szCs w:val="22"/>
        </w:rPr>
        <w:t xml:space="preserve">Integración funcional con Transbank Webpay en ambiente sandbox.</w:t>
      </w:r>
    </w:p>
    <w:p>
      <w:pPr>
        <w:pStyle w:val="ListParagraph"/>
        <w:numPr>
          <w:ilvl w:val="0"/>
          <w:numId w:val="1"/>
        </w:numPr>
        <w:spacing w:after="80"/>
      </w:pPr>
      <w:r>
        <w:rPr>
          <w:sz w:val="22"/>
          <w:szCs w:val="22"/>
        </w:rPr>
        <w:t xml:space="preserve">Pantalla de selección de pasarela de pago dentro del flujo de venta existente (SalePaymentScreen).</w:t>
      </w:r>
    </w:p>
    <w:p>
      <w:pPr>
        <w:pStyle w:val="ListParagraph"/>
        <w:numPr>
          <w:ilvl w:val="0"/>
          <w:numId w:val="1"/>
        </w:numPr>
        <w:spacing w:after="80"/>
      </w:pPr>
      <w:r>
        <w:rPr>
          <w:sz w:val="22"/>
          <w:szCs w:val="22"/>
        </w:rPr>
        <w:t xml:space="preserve">Documentación técnica del diseño (arquitectura, diagramas UML, requisitos no funcionales).</w:t>
      </w:r>
    </w:p>
    <w:p>
      <w:pPr>
        <w:spacing w:after="120"/>
      </w:pPr>
      <w:r>
        <w:rPr>
          <w:b/>
          <w:bCs/>
          <w:sz w:val="22"/>
          <w:szCs w:val="22"/>
        </w:rPr>
        <w:t xml:space="preserve">No incluye (fuera de alcance del MVP):</w:t>
      </w:r>
    </w:p>
    <w:p>
      <w:pPr>
        <w:pStyle w:val="ListParagraph"/>
        <w:numPr>
          <w:ilvl w:val="0"/>
          <w:numId w:val="1"/>
        </w:numPr>
        <w:spacing w:after="80"/>
      </w:pPr>
      <w:r>
        <w:rPr>
          <w:sz w:val="22"/>
          <w:szCs w:val="22"/>
        </w:rPr>
        <w:t xml:space="preserve">Integración con Flow, MercadoLibre, PayPal u otras pasarelas adicionales — el diseño del `PaymentGateway` las contempla como extensiones futuras, pero su implementación queda fuera del MVP y se prioriza en el Product Backlog para iteraciones posteriores.</w:t>
      </w:r>
    </w:p>
    <w:p>
      <w:pPr>
        <w:pStyle w:val="ListParagraph"/>
        <w:numPr>
          <w:ilvl w:val="0"/>
          <w:numId w:val="1"/>
        </w:numPr>
        <w:spacing w:after="80"/>
      </w:pPr>
      <w:r>
        <w:rPr>
          <w:sz w:val="22"/>
          <w:szCs w:val="22"/>
        </w:rPr>
        <w:t xml:space="preserve">Paso a producción con credenciales reales de Webpay (se trabaja en ambiente de pruebas).</w:t>
      </w:r>
    </w:p>
    <w:p>
      <w:pPr>
        <w:pStyle w:val="ListParagraph"/>
        <w:numPr>
          <w:ilvl w:val="0"/>
          <w:numId w:val="1"/>
        </w:numPr>
        <w:spacing w:after="80"/>
      </w:pPr>
      <w:r>
        <w:rPr>
          <w:sz w:val="22"/>
          <w:szCs w:val="22"/>
        </w:rPr>
        <w:t xml:space="preserve">Modificaciones al módulo de emisión de DTE o al backend legacy DTEmite, salvo los ajustes estrictamente necesarios para soportar el nuevo método de pago.</w:t>
      </w:r>
    </w:p>
    <w:p>
      <w:pPr>
        <w:pStyle w:val="ListParagraph"/>
        <w:numPr>
          <w:ilvl w:val="0"/>
          <w:numId w:val="1"/>
        </w:numPr>
        <w:spacing w:after="80"/>
      </w:pPr>
      <w:r>
        <w:rPr>
          <w:sz w:val="22"/>
          <w:szCs w:val="22"/>
        </w:rPr>
        <w:t xml:space="preserve">Contenerización con Docker — explícitamente excluida por decisión del equipo.</w:t>
      </w:r>
    </w:p>
    <w:p>
      <w:pPr>
        <w:pStyle w:val="Heading1"/>
        <w:spacing w:after="150" w:before="300"/>
      </w:pPr>
      <w:r>
        <w:rPr>
          <w:b/>
          <w:bCs/>
          <w:color w:val="1F3864"/>
          <w:sz w:val="28"/>
          <w:szCs w:val="28"/>
        </w:rPr>
        <w:t xml:space="preserve">5. Restricciones</w:t>
      </w:r>
    </w:p>
    <w:p>
      <w:pPr>
        <w:pStyle w:val="ListParagraph"/>
        <w:numPr>
          <w:ilvl w:val="0"/>
          <w:numId w:val="1"/>
        </w:numPr>
        <w:spacing w:after="80"/>
      </w:pPr>
      <w:r>
        <w:rPr>
          <w:sz w:val="22"/>
          <w:szCs w:val="22"/>
        </w:rPr>
        <w:t xml:space="preserve">Plazo fijo de la asignatura Capstone: 18 semanas (Fase 1: semanas 1-4, Fase 2: semanas 5-15, Fase 3: semanas 16-18).</w:t>
      </w:r>
    </w:p>
    <w:p>
      <w:pPr>
        <w:pStyle w:val="ListParagraph"/>
        <w:numPr>
          <w:ilvl w:val="0"/>
          <w:numId w:val="1"/>
        </w:numPr>
        <w:spacing w:after="80"/>
      </w:pPr>
      <w:r>
        <w:rPr>
          <w:sz w:val="22"/>
          <w:szCs w:val="22"/>
        </w:rPr>
        <w:t xml:space="preserve">Stack tecnológico ya definido por el sistema base: React Native 0.75.5, TypeScript, Zustand + MMKV, React Navigation.</w:t>
      </w:r>
    </w:p>
    <w:p>
      <w:pPr>
        <w:pStyle w:val="ListParagraph"/>
        <w:numPr>
          <w:ilvl w:val="0"/>
          <w:numId w:val="1"/>
        </w:numPr>
        <w:spacing w:after="80"/>
      </w:pPr>
      <w:r>
        <w:rPr>
          <w:sz w:val="22"/>
          <w:szCs w:val="22"/>
        </w:rPr>
        <w:t xml:space="preserve">No se utilizará Docker en ninguna etapa del proyecto (decisión explícita del equipo).</w:t>
      </w:r>
    </w:p>
    <w:p>
      <w:pPr>
        <w:pStyle w:val="ListParagraph"/>
        <w:numPr>
          <w:ilvl w:val="0"/>
          <w:numId w:val="1"/>
        </w:numPr>
        <w:spacing w:after="80"/>
      </w:pPr>
      <w:r>
        <w:rPr>
          <w:sz w:val="22"/>
          <w:szCs w:val="22"/>
        </w:rPr>
        <w:t xml:space="preserve">El repositorio debe permanecer público durante todo el semestre (requisito de la asignatura).</w:t>
      </w:r>
    </w:p>
    <w:p>
      <w:pPr>
        <w:pStyle w:val="ListParagraph"/>
        <w:numPr>
          <w:ilvl w:val="0"/>
          <w:numId w:val="1"/>
        </w:numPr>
        <w:spacing w:after="80"/>
      </w:pPr>
      <w:r>
        <w:rPr>
          <w:sz w:val="22"/>
          <w:szCs w:val="22"/>
        </w:rPr>
        <w:t xml:space="preserve">La integración con Webpay debe respetar la normativa y documentación técnica oficial de Transbank.</w:t>
      </w:r>
    </w:p>
    <w:p>
      <w:pPr>
        <w:pStyle w:val="ListParagraph"/>
        <w:numPr>
          <w:ilvl w:val="0"/>
          <w:numId w:val="1"/>
        </w:numPr>
        <w:spacing w:after="80"/>
      </w:pPr>
      <w:r>
        <w:rPr>
          <w:sz w:val="22"/>
          <w:szCs w:val="22"/>
        </w:rPr>
        <w:t xml:space="preserve">El equipo cuenta con 3 integrantes (no 4), lo que condiciona la carga de trabajo distribuida por sprint.</w:t>
      </w:r>
    </w:p>
    <w:p>
      <w:pPr>
        <w:pStyle w:val="Heading1"/>
        <w:spacing w:after="150" w:before="300"/>
      </w:pPr>
      <w:r>
        <w:rPr>
          <w:b/>
          <w:bCs/>
          <w:color w:val="1F3864"/>
          <w:sz w:val="28"/>
          <w:szCs w:val="28"/>
        </w:rPr>
        <w:t xml:space="preserve">6. Justificación de la Solución</w:t>
      </w:r>
    </w:p>
    <w:p>
      <w:pPr>
        <w:spacing w:after="120"/>
      </w:pPr>
      <w:r>
        <w:rPr>
          <w:sz w:val="22"/>
          <w:szCs w:val="22"/>
        </w:rPr>
        <w:t xml:space="preserve">A diferencia de un proyecto Capstone construido desde cero, este proyecto parte de una base real, operativa y respaldada por una empresa (Dtemite), lo que cumple con creces el criterio de "situación real" exigido por la asignatura.</w:t>
      </w:r>
    </w:p>
    <w:p>
      <w:pPr>
        <w:spacing w:after="120"/>
      </w:pPr>
      <w:r>
        <w:rPr>
          <w:sz w:val="22"/>
          <w:szCs w:val="22"/>
        </w:rPr>
        <w:t xml:space="preserve">El aporte específico del equipo —evolucionar la arquitectura de pagos hacia un modelo multi-pasarela— es un problema de ingeniería de software genuino: implica diseño de abstracciones (patrón adaptador/strategy), integración con servicios externos de terceros (Webpay), y decisiones de arquitectura que impactan la escalabilidad y el modelo de negocio de D-PAY (permite vender el sistema a comercios sin invertir en hardware Kozen).</w:t>
      </w:r>
    </w:p>
    <w:p>
      <w:pPr>
        <w:spacing w:after="120"/>
      </w:pPr>
      <w:r>
        <w:rPr>
          <w:sz w:val="22"/>
          <w:szCs w:val="22"/>
        </w:rPr>
        <w:t xml:space="preserve">El diseño del módulo `PaymentGateway` se plantea desde el inicio como un contrato extensible: agregar un nuevo proveedor (Flow, MercadoLibre, PayPal, etc.) no debiera requerir modificar la lógica de venta existente, solo implementar el contrato para ese proveedor. El MVP demuestra este principio integrando Webpay como primer caso real; los demás proveedores quedan documentados en el Product Backlog como trabajo futuro.</w:t>
      </w:r>
    </w:p>
    <w:p>
      <w:pPr>
        <w:spacing w:after="120"/>
      </w:pPr>
      <w:r>
        <w:rPr>
          <w:sz w:val="22"/>
          <w:szCs w:val="22"/>
        </w:rPr>
        <w:t xml:space="preserve">Este enfoque permite integrar competencias del perfil de egreso de Ingeniería en Informática de Duoc UC: desarrollo de software, arquitectura de sistemas, integración de servicios, y gestión ágil de proyectos bajo Scrum.</w:t>
      </w:r>
    </w:p>
    <w:p>
      <w:pPr>
        <w:spacing w:before="400"/>
      </w:pPr>
      <w:r>
        <w:rPr>
          <w:i/>
          <w:iCs/>
          <w:color w:val="808080"/>
          <w:sz w:val="18"/>
          <w:szCs w:val="18"/>
        </w:rPr>
        <w:t xml:space="preserve">Nota: Este documento es un borrador de trabajo (v0.1). Los campos "Product Owner" y "Scrum Master" quedan pendientes de confirmación por el equipo y no deben considerarse definitivos hasta su validación formal.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2026-08-25T01:44:52.802Z</dcterms:created>
  <dcterms:modified xsi:type="dcterms:W3CDTF">2026-08-25T01:44:52.816Z</dcterms:modified>
</cp:coreProperties>
</file>

<file path=docProps/custom.xml><?xml version="1.0" encoding="utf-8"?>
<Properties xmlns="http://schemas.openxmlformats.org/officeDocument/2006/custom-properties" xmlns:vt="http://schemas.openxmlformats.org/officeDocument/2006/docPropsVTypes"/>
</file>