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59" w:lineRule="auto"/>
        <w:jc w:val="left"/>
        <w:rPr>
          <w:rFonts w:ascii="Times New Roman" w:cs="Times New Roman" w:eastAsia="Times New Roman" w:hAnsi="Times New Roman"/>
          <w:i w:val="1"/>
          <w:iCs w:val="1"/>
          <w:color w:val="595959"/>
          <w:sz w:val="20"/>
          <w:szCs w:val="20"/>
        </w:rPr>
      </w:pPr>
      <w:r w:rsidDel="00000000" w:rsidR="00000000" w:rsidRPr="00000000">
        <w:rPr>
          <w:rtl w:val="0"/>
        </w:rPr>
      </w:r>
    </w:p>
    <w:p w:rsidR="00000000" w:rsidDel="00000000" w:rsidP="00000000" w:rsidRDefault="00000000" w:rsidRPr="00000000" w14:paraId="00000002">
      <w:pPr>
        <w:spacing w:after="240" w:before="0" w:line="259" w:lineRule="auto"/>
        <w:jc w:val="center"/>
        <w:rPr>
          <w:rFonts w:ascii="Times New Roman" w:cs="Times New Roman" w:eastAsia="Times New Roman" w:hAnsi="Times New Roman"/>
          <w:i w:val="1"/>
          <w:iCs w:val="1"/>
          <w:color w:val="595959"/>
          <w:sz w:val="52"/>
          <w:szCs w:val="52"/>
        </w:rPr>
      </w:pPr>
      <w:r w:rsidDel="00000000" w:rsidR="00000000" w:rsidRPr="00000000">
        <w:rPr>
          <w:rtl w:val="0"/>
        </w:rPr>
      </w:r>
    </w:p>
    <w:p w:rsidR="00000000" w:rsidDel="00000000" w:rsidP="00000000" w:rsidRDefault="00000000" w:rsidRPr="00000000" w14:paraId="00000003">
      <w:pPr>
        <w:spacing w:after="40" w:before="0" w:line="259" w:lineRule="auto"/>
        <w:jc w:val="center"/>
        <w:rPr>
          <w:rFonts w:ascii="Times New Roman" w:cs="Times New Roman" w:eastAsia="Times New Roman" w:hAnsi="Times New Roman"/>
          <w:b w:val="1"/>
          <w:bCs w:val="1"/>
          <w:i w:val="0"/>
          <w:iCs w:val="0"/>
          <w:sz w:val="52"/>
          <w:szCs w:val="52"/>
        </w:rPr>
      </w:pPr>
      <w:r w:rsidDel="00000000" w:rsidR="00000000" w:rsidRPr="00000000">
        <w:rPr>
          <w:rFonts w:ascii="Times New Roman" w:cs="Times New Roman" w:eastAsia="Times New Roman" w:hAnsi="Times New Roman"/>
          <w:b w:val="1"/>
          <w:bCs w:val="1"/>
          <w:i w:val="0"/>
          <w:iCs w:val="0"/>
          <w:sz w:val="52"/>
          <w:szCs w:val="52"/>
          <w:rtl w:val="0"/>
        </w:rPr>
        <w:t xml:space="preserve">INFORME DE SPRINT 1</w:t>
      </w:r>
    </w:p>
    <w:p w:rsidR="00000000" w:rsidDel="00000000" w:rsidP="00000000" w:rsidRDefault="00000000" w:rsidRPr="00000000" w14:paraId="00000004">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5">
      <w:pPr>
        <w:spacing w:after="40" w:before="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6">
      <w:pPr>
        <w:spacing w:after="4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z w:val="28"/>
          <w:szCs w:val="28"/>
          <w:rtl w:val="0"/>
        </w:rPr>
        <w:t xml:space="preserve">D-PAY 3.0 — POS móvil de DTemite</w:t>
      </w:r>
      <w:r w:rsidDel="00000000" w:rsidR="00000000" w:rsidRPr="00000000">
        <w:rPr>
          <w:rtl w:val="0"/>
        </w:rPr>
      </w:r>
    </w:p>
    <w:p w:rsidR="00000000" w:rsidDel="00000000" w:rsidP="00000000" w:rsidRDefault="00000000" w:rsidRPr="00000000" w14:paraId="00000007">
      <w:pPr>
        <w:spacing w:after="200" w:before="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24"/>
          <w:szCs w:val="24"/>
          <w:rtl w:val="0"/>
        </w:rPr>
        <w:t xml:space="preserve">Un comercio entra a D-PAY con su empresa y arma una venta en el celular.</w:t>
      </w:r>
      <w:r w:rsidDel="00000000" w:rsidR="00000000" w:rsidRPr="00000000">
        <w:rPr>
          <w:rtl w:val="0"/>
        </w:rPr>
      </w:r>
    </w:p>
    <w:p w:rsidR="00000000" w:rsidDel="00000000" w:rsidP="00000000" w:rsidRDefault="00000000" w:rsidRPr="00000000" w14:paraId="00000008">
      <w:pPr>
        <w:spacing w:after="240" w:before="0" w:line="259" w:lineRule="auto"/>
        <w:jc w:val="left"/>
        <w:rPr>
          <w:rFonts w:ascii="Times New Roman" w:cs="Times New Roman" w:eastAsia="Times New Roman" w:hAnsi="Times New Roman"/>
          <w:b w:val="1"/>
          <w:bCs w:val="1"/>
          <w:i w:val="0"/>
          <w:iCs w:val="0"/>
          <w:sz w:val="22"/>
          <w:szCs w:val="22"/>
        </w:rPr>
      </w:pPr>
      <w:r w:rsidDel="00000000" w:rsidR="00000000" w:rsidRPr="00000000">
        <w:rPr>
          <w:rtl w:val="0"/>
        </w:rPr>
      </w:r>
    </w:p>
    <w:p w:rsidR="00000000" w:rsidDel="00000000" w:rsidP="00000000" w:rsidRDefault="00000000" w:rsidRPr="00000000" w14:paraId="00000009">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B">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C">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D">
      <w:pPr>
        <w:spacing w:after="240" w:before="0" w:line="259" w:lineRule="auto"/>
        <w:jc w:val="center"/>
        <w:rPr>
          <w:rFonts w:ascii="Times New Roman" w:cs="Times New Roman" w:eastAsia="Times New Roman" w:hAnsi="Times New Roman"/>
          <w:b w:val="1"/>
          <w:bCs w:val="1"/>
        </w:rPr>
      </w:pPr>
      <w:r w:rsidDel="00000000" w:rsidR="00000000" w:rsidRPr="00000000">
        <w:rPr>
          <w:rtl w:val="0"/>
        </w:rPr>
      </w:r>
    </w:p>
    <w:tbl>
      <w:tblPr>
        <w:tblStyle w:val="Table1"/>
        <w:tblW w:w="10200.0" w:type="dxa"/>
        <w:jc w:val="left"/>
        <w:tblInd w:w="-115.0" w:type="dxa"/>
        <w:tblLayout w:type="fixed"/>
        <w:tblLook w:val="0400"/>
      </w:tblPr>
      <w:tblGrid>
        <w:gridCol w:w="5100"/>
        <w:gridCol w:w="5100"/>
        <w:tblGridChange w:id="0">
          <w:tblGrid>
            <w:gridCol w:w="5100"/>
            <w:gridCol w:w="5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0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Empresa mandante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0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DTemite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José Robles Rocha — acepta la demo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Scrum Master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Pablo Gutiérrez — facilita Review y retrospectiva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Desarrollo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Diego Madrid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QA y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Reinhartd Munzenmayer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Docente guía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Fabián Alcántara Guajardo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Horas comprometidas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78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Puntos de referencia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1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20"/>
                <w:szCs w:val="20"/>
                <w:rtl w:val="0"/>
              </w:rPr>
              <w:t xml:space="preserve">Estado al 27/09/2026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Pr>
          <w:p w:rsidR="00000000" w:rsidDel="00000000" w:rsidP="00000000" w:rsidRDefault="00000000" w:rsidRPr="00000000" w14:paraId="000000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20"/>
                <w:szCs w:val="20"/>
                <w:rtl w:val="0"/>
              </w:rPr>
              <w:t xml:space="preserve">En progreso</w:t>
            </w:r>
            <w:r w:rsidDel="00000000" w:rsidR="00000000" w:rsidRPr="00000000">
              <w:rPr>
                <w:rtl w:val="0"/>
              </w:rPr>
            </w:r>
          </w:p>
        </w:tc>
      </w:tr>
    </w:tbl>
    <w:p w:rsidR="00000000" w:rsidDel="00000000" w:rsidP="00000000" w:rsidRDefault="00000000" w:rsidRPr="00000000" w14:paraId="00000020">
      <w:pPr>
        <w:pStyle w:val="Heading1"/>
        <w:spacing w:after="120" w:before="280" w:lineRule="auto"/>
        <w:rPr>
          <w:rFonts w:ascii="Times New Roman" w:cs="Times New Roman" w:eastAsia="Times New Roman" w:hAnsi="Times New Roman"/>
          <w:color w:val="1f4e79"/>
          <w:sz w:val="32"/>
          <w:szCs w:val="32"/>
        </w:rPr>
      </w:pPr>
      <w:r w:rsidDel="00000000" w:rsidR="00000000" w:rsidRPr="00000000">
        <w:rPr>
          <w:rtl w:val="0"/>
        </w:rPr>
      </w:r>
    </w:p>
    <w:p w:rsidR="00000000" w:rsidDel="00000000" w:rsidP="00000000" w:rsidRDefault="00000000" w:rsidRPr="00000000" w14:paraId="00000021">
      <w:pPr>
        <w:pStyle w:val="Heading1"/>
        <w:spacing w:after="120" w:before="280" w:lineRule="auto"/>
        <w:rPr>
          <w:rFonts w:ascii="Times New Roman" w:cs="Times New Roman" w:eastAsia="Times New Roman" w:hAnsi="Times New Roman"/>
          <w:color w:val="1f4e79"/>
          <w:sz w:val="32"/>
          <w:szCs w:val="32"/>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1. Qué cubre este sprint</w:t>
      </w:r>
      <w:r w:rsidDel="00000000" w:rsidR="00000000" w:rsidRPr="00000000">
        <w:rPr>
          <w:rtl w:val="0"/>
        </w:rPr>
      </w:r>
    </w:p>
    <w:p w:rsidR="00000000" w:rsidDel="00000000" w:rsidP="00000000" w:rsidRDefault="00000000" w:rsidRPr="00000000" w14:paraId="00000025">
      <w:pPr>
        <w:spacing w:after="160" w:before="0" w:line="259" w:lineRule="auto"/>
        <w:rPr>
          <w:rFonts w:ascii="Times New Roman" w:cs="Times New Roman" w:eastAsia="Times New Roman" w:hAnsi="Times New Roman"/>
        </w:rPr>
      </w:pPr>
      <w:sdt>
        <w:sdtPr>
          <w:id w:val="1721250067"/>
          <w:tag w:val="goog_rdk_0"/>
        </w:sdtPr>
        <w:sdtContent>
          <w:r w:rsidDel="00000000" w:rsidR="00000000" w:rsidRPr="00000000">
            <w:rPr>
              <w:rFonts w:ascii="Cardo" w:cs="Cardo" w:eastAsia="Cardo" w:hAnsi="Cardo"/>
              <w:i w:val="0"/>
              <w:iCs w:val="0"/>
              <w:sz w:val="22"/>
              <w:szCs w:val="22"/>
              <w:rtl w:val="0"/>
            </w:rPr>
            <w:t xml:space="preserve">Queda demostrable el tramo login → carrito. El cobro empieza en el Sprint 2.</w:t>
          </w:r>
        </w:sdtContent>
      </w:sdt>
      <w:r w:rsidDel="00000000" w:rsidR="00000000" w:rsidRPr="00000000">
        <w:rPr>
          <w:rtl w:val="0"/>
        </w:rPr>
      </w:r>
    </w:p>
    <w:p w:rsidR="00000000" w:rsidDel="00000000" w:rsidP="00000000" w:rsidRDefault="00000000" w:rsidRPr="00000000" w14:paraId="0000002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Historias comprometidas: HU-01, HU-02, HU-03 y un avance de HU-13.</w:t>
      </w:r>
      <w:r w:rsidDel="00000000" w:rsidR="00000000" w:rsidRPr="00000000">
        <w:rPr>
          <w:rtl w:val="0"/>
        </w:rPr>
      </w:r>
    </w:p>
    <w:p w:rsidR="00000000" w:rsidDel="00000000" w:rsidP="00000000" w:rsidRDefault="00000000" w:rsidRPr="00000000" w14:paraId="00000027">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El producto que se está aceptando es el POS completo. Webpay forma parte de ese producto a partir del Sprint 4. Efectivo y TUU, aceptados como línea base en el Sprint 2, tienen que seguir cobrando en cada review posterior.</w:t>
      </w:r>
    </w:p>
    <w:p w:rsidR="00000000" w:rsidDel="00000000" w:rsidP="00000000" w:rsidRDefault="00000000" w:rsidRPr="00000000" w14:paraId="00000028">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2. Qué hay hoy en el código</w:t>
      </w:r>
      <w:r w:rsidDel="00000000" w:rsidR="00000000" w:rsidRPr="00000000">
        <w:rPr>
          <w:rtl w:val="0"/>
        </w:rPr>
      </w:r>
    </w:p>
    <w:p w:rsidR="00000000" w:rsidDel="00000000" w:rsidP="00000000" w:rsidRDefault="00000000" w:rsidRPr="00000000" w14:paraId="0000002A">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LoginScreen, authStore, el PIN de patrón, la biometría, el anexo dpay_pos, SaleScreen, CatalogueScreen y el scanner ya están en codigo/src. El sprint se cierra cuando esas pantallas pasan el Definition of Done: prueba en Android, pull request revisado y demo al Product Owner.</w:t>
      </w:r>
    </w:p>
    <w:p w:rsidR="00000000" w:rsidDel="00000000" w:rsidP="00000000" w:rsidRDefault="00000000" w:rsidRPr="00000000" w14:paraId="0000002B">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3. Cómo se da por hecho</w:t>
      </w:r>
      <w:r w:rsidDel="00000000" w:rsidR="00000000" w:rsidRPr="00000000">
        <w:rPr>
          <w:rtl w:val="0"/>
        </w:rPr>
      </w:r>
    </w:p>
    <w:p w:rsidR="00000000" w:rsidDel="00000000" w:rsidP="00000000" w:rsidRDefault="00000000" w:rsidRPr="00000000" w14:paraId="0000002D">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Además de los criterios de cada tarea, el sprint usa la Definition of Done v1.0: rama feature/HU-XX, pull request de un par, prueba en Android, demo al Product Owner y retrospectiva.</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Login válido e inválido probados en un Android.</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El token queda en MMKV y el logout lo borra.</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El carrito sobrevive al cerrar la app (MMKV).</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Errores de acceso en español.</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Review con demo de entrada y armado de venta, más retrospectiva.</w:t>
      </w:r>
    </w:p>
    <w:p w:rsidR="00000000" w:rsidDel="00000000" w:rsidP="00000000" w:rsidRDefault="00000000" w:rsidRPr="00000000" w14:paraId="00000033">
      <w:pPr>
        <w:spacing w:after="160" w:before="12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Regresión de este sprint. Este sprint no cobra. No debe dejar la venta en un estado que impida, en el Sprint 2, cobrar en efectivo o con TUU.</w:t>
      </w:r>
    </w:p>
    <w:p w:rsidR="00000000" w:rsidDel="00000000" w:rsidP="00000000" w:rsidRDefault="00000000" w:rsidRPr="00000000" w14:paraId="00000034">
      <w:pPr>
        <w:spacing w:after="160" w:before="12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4. Tareas comprometidas</w:t>
      </w:r>
      <w:r w:rsidDel="00000000" w:rsidR="00000000" w:rsidRPr="00000000">
        <w:rPr>
          <w:rtl w:val="0"/>
        </w:rPr>
      </w:r>
    </w:p>
    <w:p w:rsidR="00000000" w:rsidDel="00000000" w:rsidP="00000000" w:rsidRDefault="00000000" w:rsidRPr="00000000" w14:paraId="00000036">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La planilla con el mismo detalle está en DPAY3_Sprint_Backlog_S01.xlsx. Las horas son el estimado del Planning para tres personas en dos semanas.</w:t>
      </w:r>
      <w:r w:rsidDel="00000000" w:rsidR="00000000" w:rsidRPr="00000000">
        <w:rPr>
          <w:rtl w:val="0"/>
        </w:rPr>
      </w:r>
    </w:p>
    <w:tbl>
      <w:tblPr>
        <w:tblStyle w:val="Table2"/>
        <w:tblW w:w="10200.0" w:type="dxa"/>
        <w:jc w:val="center"/>
        <w:tblLayout w:type="fixed"/>
        <w:tblLook w:val="0400"/>
      </w:tblPr>
      <w:tblGrid>
        <w:gridCol w:w="1700"/>
        <w:gridCol w:w="1700"/>
        <w:gridCol w:w="1700"/>
        <w:gridCol w:w="1700"/>
        <w:gridCol w:w="1700"/>
        <w:gridCol w:w="1700"/>
        <w:tblGridChange w:id="0">
          <w:tblGrid>
            <w:gridCol w:w="1700"/>
            <w:gridCol w:w="1700"/>
            <w:gridCol w:w="1700"/>
            <w:gridCol w:w="1700"/>
            <w:gridCol w:w="17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HU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Tarea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Horas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Responsable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3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ffffff"/>
                <w:sz w:val="16"/>
                <w:szCs w:val="16"/>
                <w:rtl w:val="0"/>
              </w:rPr>
              <w:t xml:space="preserve">Criterio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Pantalla de login con RUT, usuario y clave contra POST /api/login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CA-01.1 y CA-01.3: acceso correcto y error en español si la clave falla.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Guardar el token en MMKV y enviarlo como Authorization bearer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CA-01.2: la sesión sobrevive al reinicio y las llamadas salen autenticadas.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Al primer login, descargar CAF, catálogo y clientes del tenant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CA-01.4: sin esa descarga no se puede vender ni emitir después.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4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Logout que limpia token y datos sensibles de sesión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CA-01.5: al salir no queda sesión reutilizable.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login válido, login inválido y logout en Android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CA-01.1 a CA-01.5 verificados en dispositivo.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Bloqueo con PIN de patrón en grilla 3×3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5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CA-02.1: sin el patrón correcto la caja no se usa.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Biometría opcional y deshabilitada en terminal Kozen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CA-02.2: en Kozen el desbloqueo es el patrón.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Dejar b64pass solo para la API legacy de DTE, nunca la clave en claro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6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CA-02.3 y RNF-02.2.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T2.4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Mostrar y aceptar el anexo dpay_pos si el tenant no lo tiene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CA-02.4: aceptación por /dpay/contrato/aceptar-anexo.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T2.5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bloqueo, patrón incorrecto y contrato en el primer uso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CA-02.1 a CA-02.4.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T3.1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Calculadora táctil de monto libre en SaleScreen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E">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CA-03.1.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7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T3.2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Catálogo con búsqueda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4">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CA-03.2.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T3.3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Escaneo de código de barras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8A">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CA-03.3.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T3.4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Carrito en salesStore persistido en MMKV</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8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0">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CA-03.4 y CA-03.5: ítems y totales siguen al cerrar la app.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T3.5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Producto rápido cuando el tenant tiene crea_productos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Diego Madrid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6">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CA-03.6: POST /producto/rapido.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T3.6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Probar armar una venta por los tres caminos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9C">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CA-03.1 a CA-03.6.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9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Dejar en el repositorio la ficha de este sprint y sus criterios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Reinhartd Munzenmayer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2">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CA-13.3: documento con portada, en GitHub, leído por un par.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A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HU-13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A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T4.2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A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Sprint Review con demo y retrospectiva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A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A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Pablo Gutiérrez</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3f6fa" w:val="clear"/>
          </w:tcPr>
          <w:p w:rsidR="00000000" w:rsidDel="00000000" w:rsidP="00000000" w:rsidRDefault="00000000" w:rsidRPr="00000000" w14:paraId="000000A8">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222222"/>
                <w:sz w:val="16"/>
                <w:szCs w:val="16"/>
                <w:rtl w:val="0"/>
              </w:rPr>
              <w:t xml:space="preserve">DoD de sprint: el PO ve login y venta, no solo láminas.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A9">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AA">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A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16"/>
                <w:szCs w:val="16"/>
                <w:rtl w:val="0"/>
              </w:rPr>
              <w:t xml:space="preserve">Horas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A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color w:val="222222"/>
                <w:sz w:val="16"/>
                <w:szCs w:val="16"/>
                <w:rtl w:val="0"/>
              </w:rPr>
              <w:t xml:space="preserve">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AD">
            <w:pPr>
              <w:spacing w:after="0" w:before="0" w:lineRule="auto"/>
              <w:rPr>
                <w:rFonts w:ascii="Times New Roman" w:cs="Times New Roman" w:eastAsia="Times New Roman" w:hAnsi="Times New Roma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ef6" w:val="clear"/>
          </w:tcPr>
          <w:p w:rsidR="00000000" w:rsidDel="00000000" w:rsidP="00000000" w:rsidRDefault="00000000" w:rsidRPr="00000000" w14:paraId="000000AE">
            <w:pPr>
              <w:spacing w:after="0" w:before="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AF">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5. Informe de situación</w:t>
      </w:r>
      <w:r w:rsidDel="00000000" w:rsidR="00000000" w:rsidRPr="00000000">
        <w:rPr>
          <w:rtl w:val="0"/>
        </w:rPr>
      </w:r>
    </w:p>
    <w:p w:rsidR="00000000" w:rsidDel="00000000" w:rsidP="00000000" w:rsidRDefault="00000000" w:rsidRPr="00000000" w14:paraId="000000B0">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Al 27 de septiembre de 2026 este sprint está en progreso. Esa marca no significa que la pantalla no exista: gran parte del POS ya está construida en codigo/. Significa que la historia todavía no tiene las tres aceptaciones del Definition of Done.</w:t>
      </w:r>
      <w:r w:rsidDel="00000000" w:rsidR="00000000" w:rsidRPr="00000000">
        <w:rPr>
          <w:rtl w:val="0"/>
        </w:rPr>
      </w:r>
    </w:p>
    <w:p w:rsidR="00000000" w:rsidDel="00000000" w:rsidP="00000000" w:rsidRDefault="00000000" w:rsidRPr="00000000" w14:paraId="000000B1">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El calendario de este sprint ya está en curso o acaba de terminar. El Review correspondiente es el que puede pasarlo a Hecho. Hasta esa demo, las tareas siguen en progreso.</w:t>
      </w:r>
      <w:r w:rsidDel="00000000" w:rsidR="00000000" w:rsidRPr="00000000">
        <w:rPr>
          <w:rtl w:val="0"/>
        </w:rPr>
      </w:r>
    </w:p>
    <w:p w:rsidR="00000000" w:rsidDel="00000000" w:rsidP="00000000" w:rsidRDefault="00000000" w:rsidRPr="00000000" w14:paraId="000000B2">
      <w:pPr>
        <w:spacing w:after="160" w:before="8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Demo prevista. El cajero inicia sesión con RUT, usuario y clave, bloquea con patrón y arma un monto con calculadora, catálogo o scanner.</w:t>
      </w:r>
      <w:r w:rsidDel="00000000" w:rsidR="00000000" w:rsidRPr="00000000">
        <w:rPr>
          <w:rtl w:val="0"/>
        </w:rPr>
      </w:r>
    </w:p>
    <w:p w:rsidR="00000000" w:rsidDel="00000000" w:rsidP="00000000" w:rsidRDefault="00000000" w:rsidRPr="00000000" w14:paraId="000000B3">
      <w:pPr>
        <w:spacing w:after="160" w:before="0" w:line="259" w:lineRule="auto"/>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Queda fuera de este sprint. Efectivo, TUU, Webpay y DTE no se aceptan en este sprint. Webpay no se ofrece todavía.</w:t>
      </w:r>
    </w:p>
    <w:p w:rsidR="00000000" w:rsidDel="00000000" w:rsidP="00000000" w:rsidRDefault="00000000" w:rsidRPr="00000000" w14:paraId="000000B4">
      <w:pPr>
        <w:spacing w:after="160" w:before="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6. Riesgos</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18 y 19 de septiembre son feriado (Fiestas Patrias): la capacidad de esa semana baja.</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Si el ambiente QA de DTemite no responde, el login no se puede aceptar. Se documenta el contrato y se reintenta.</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El Product Owner puede no estar en la demo. Pablo deja la evidencia y pide aceptación asíncrona.</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pStyle w:val="Heading1"/>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color w:val="1f4e79"/>
          <w:sz w:val="32"/>
          <w:szCs w:val="32"/>
          <w:rtl w:val="0"/>
        </w:rPr>
        <w:t xml:space="preserve">7. Quién acepta</w:t>
      </w:r>
      <w:r w:rsidDel="00000000" w:rsidR="00000000" w:rsidRPr="00000000">
        <w:rPr>
          <w:rtl w:val="0"/>
        </w:rPr>
      </w:r>
    </w:p>
    <w:p w:rsidR="00000000" w:rsidDel="00000000" w:rsidP="00000000" w:rsidRDefault="00000000" w:rsidRPr="00000000" w14:paraId="000000BB">
      <w:pPr>
        <w:spacing w:after="160" w:before="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z w:val="22"/>
          <w:szCs w:val="22"/>
          <w:rtl w:val="0"/>
        </w:rPr>
        <w:t xml:space="preserve">José Robles Rocha acepta el incremento en el Sprint Review. Un integrante distinto del autor aprueba el pull request. Reinhartd Munzenmayer verifica los criterios en el dispositivo, incluida la regresión cuando el sprint toca cobro o DTE. Falta una de las tres y el sprint no se cierra.</w:t>
      </w:r>
      <w:r w:rsidDel="00000000" w:rsidR="00000000" w:rsidRPr="00000000">
        <w:rPr>
          <w:rtl w:val="0"/>
        </w:rPr>
      </w:r>
    </w:p>
    <w:p w:rsidR="00000000" w:rsidDel="00000000" w:rsidP="00000000" w:rsidRDefault="00000000" w:rsidRPr="00000000" w14:paraId="000000BC">
      <w:pPr>
        <w:spacing w:after="160" w:before="16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595959"/>
          <w:sz w:val="20"/>
          <w:szCs w:val="20"/>
          <w:rtl w:val="0"/>
        </w:rPr>
        <w:t xml:space="preserve">Referencia de aceptación: documentacion/04_Definition_of_Done/DPAY3_Definition_of_Done_v1.0.docx. Historias: codigo/docs/03-historias-usuario.md.</w:t>
      </w:r>
      <w:r w:rsidDel="00000000" w:rsidR="00000000" w:rsidRPr="00000000">
        <w:rPr>
          <w:rtl w:val="0"/>
        </w:rPr>
      </w:r>
    </w:p>
    <w:sectPr>
      <w:headerReference r:id="rId7" w:type="default"/>
      <w:footerReference r:id="rId8" w:type="default"/>
      <w:pgSz w:h="15840" w:w="12240" w:orient="portrait"/>
      <w:pgMar w:bottom="1020" w:top="1020"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666666"/>
        <w:sz w:val="18"/>
        <w:szCs w:val="18"/>
        <w:u w:val="none"/>
        <w:shd w:fill="auto" w:val="clear"/>
        <w:vertAlign w:val="baseline"/>
        <w:rtl w:val="0"/>
      </w:rPr>
      <w:t xml:space="preserve">Informe de sprint  ·  D-PAY 3.0  ·  v1.0  ·  27 de septiembre de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spacing w:after="0" w:line="240"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sz w:val="20"/>
        <w:szCs w:val="20"/>
      </w:rPr>
      <w:drawing>
        <wp:inline distB="114300" distT="114300" distL="114300" distR="114300">
          <wp:extent cx="2981325" cy="692467"/>
          <wp:effectExtent b="0" l="0" r="0" t="0"/>
          <wp:docPr id="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2981325" cy="692467"/>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Pr>
      <w:drawing>
        <wp:inline distB="114300" distT="114300" distL="114300" distR="114300">
          <wp:extent cx="2762250" cy="701992"/>
          <wp:effectExtent b="0" l="0" r="0" t="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2762250" cy="70199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1xcq+r00sTGzGd//2cDIYZfBbA==">CgMxLjAaIwoBMBIeChwIB0IYCg9UaW1lcyBOZXcgUm9tYW4SBUNhcmRvOAByITFoRzBra045N2lSbFRYcmRyeFVHNGpxNUl5OUpXUF81QQ==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