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before="0" w:line="276" w:lineRule="auto"/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before="0" w:line="276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="276" w:lineRule="auto"/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DEFINITION OF DONE</w:t>
      </w:r>
    </w:p>
    <w:p w:rsidR="00000000" w:rsidDel="00000000" w:rsidP="00000000" w:rsidRDefault="00000000" w:rsidRPr="00000000" w14:paraId="00000005">
      <w:pPr>
        <w:spacing w:after="80" w:before="0" w:line="276" w:lineRule="auto"/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0" w:line="276" w:lineRule="auto"/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0"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Criterios para aceptar una historia y el producto D-PAY 3.0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80" w:before="0"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POS móvil completo: vender, cobrar (efectivo, TUU y Webpay) y emitir DTE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before="0"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DPAY3_Definition_of_Done_v1.0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0"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before="0"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before="0"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0"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0"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before="0"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0"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0" w:line="276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Empresa mandante :  </w:t>
      </w:r>
      <w:r w:rsidDel="00000000" w:rsidR="00000000" w:rsidRPr="00000000">
        <w:rPr>
          <w:sz w:val="22"/>
          <w:szCs w:val="22"/>
          <w:rtl w:val="0"/>
        </w:rPr>
        <w:t xml:space="preserve">DTemite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0" w:line="276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Product Owner : </w:t>
      </w:r>
      <w:r w:rsidDel="00000000" w:rsidR="00000000" w:rsidRPr="00000000">
        <w:rPr>
          <w:sz w:val="22"/>
          <w:szCs w:val="22"/>
          <w:rtl w:val="0"/>
        </w:rPr>
        <w:t xml:space="preserve">José Robles Rocha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0" w:line="276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Scrum Master : </w:t>
      </w:r>
      <w:r w:rsidDel="00000000" w:rsidR="00000000" w:rsidRPr="00000000">
        <w:rPr>
          <w:sz w:val="22"/>
          <w:szCs w:val="22"/>
          <w:rtl w:val="0"/>
        </w:rPr>
        <w:t xml:space="preserve">Pablo Gutiérrez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before="0" w:line="276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Equipo : </w:t>
      </w:r>
      <w:r w:rsidDel="00000000" w:rsidR="00000000" w:rsidRPr="00000000">
        <w:rPr>
          <w:sz w:val="22"/>
          <w:szCs w:val="22"/>
          <w:rtl w:val="0"/>
        </w:rPr>
        <w:t xml:space="preserve">Diego Madrid (desarrollo), Pablo Gutiérrez (arquitectura), Reinhartd Munzenmayer (QA)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before="0" w:line="276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Docente guía : </w:t>
      </w:r>
      <w:r w:rsidDel="00000000" w:rsidR="00000000" w:rsidRPr="00000000">
        <w:rPr>
          <w:sz w:val="22"/>
          <w:szCs w:val="22"/>
          <w:rtl w:val="0"/>
        </w:rPr>
        <w:t xml:space="preserve">Fabián Alcántara Guajardo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0" w:line="276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Repositorio : </w:t>
      </w:r>
      <w:r w:rsidDel="00000000" w:rsidR="00000000" w:rsidRPr="00000000">
        <w:rPr>
          <w:sz w:val="22"/>
          <w:szCs w:val="22"/>
          <w:rtl w:val="0"/>
        </w:rPr>
        <w:t xml:space="preserve">github.com/DeboradorDeMundos/dpay_3.0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0" w:line="276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Revisión : </w:t>
      </w:r>
      <w:r w:rsidDel="00000000" w:rsidR="00000000" w:rsidRPr="00000000">
        <w:rPr>
          <w:sz w:val="22"/>
          <w:szCs w:val="22"/>
          <w:rtl w:val="0"/>
        </w:rPr>
        <w:t xml:space="preserve">v1.0   27 de septiembre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0" w:line="276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Decisión de alcance : </w:t>
      </w:r>
      <w:r w:rsidDel="00000000" w:rsidR="00000000" w:rsidRPr="00000000">
        <w:rPr>
          <w:sz w:val="22"/>
          <w:szCs w:val="22"/>
          <w:rtl w:val="0"/>
        </w:rPr>
        <w:t xml:space="preserve">Se acepta el POS completo. Webpay forma parte del producto. Efectivo y TUU deben seguir operativos.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spacing w:after="140" w:before="36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pacing w:after="140" w:before="36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spacing w:after="140" w:before="36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after="140" w:before="36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spacing w:after="140" w:before="36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spacing w:after="140" w:before="36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1. Para qué sirve este documento</w:t>
      </w:r>
    </w:p>
    <w:p w:rsidR="00000000" w:rsidDel="00000000" w:rsidP="00000000" w:rsidRDefault="00000000" w:rsidRPr="00000000" w14:paraId="0000001F">
      <w:pPr>
        <w:spacing w:after="120" w:before="0" w:line="276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Una historia está Hecha cuando cumple tres cosas a la vez: sus criterios de aceptación, la Definition of Done transversal (código, documento y sprint) y la regresión de los cobros que el producto ya tiene. Quien acepta es el Product Owner, un par del equipo y QA.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before="0" w:line="276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El producto que se acepta es D-PAY entero: login, venta, cobro, DTE, historial, nota de crédito, impresión, Payment Hub y configuración. El cobro con tarjeta tiene dos caminos, según el dispositivo: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Terminal Kozen con la app TUU instalada: crédito y débito por TUU (Intent Android).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Celular Android genérico: crédito y débito por Webpay, a través del proxy del Capstone. La app no guarda credenciales de Transbank.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Efectivo: en ambos dispositivos, con registro de la venta y emisión de DTE cuando el documento lo exige.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Webpay está al alcance de este proyecto. Una historia de Webpay se acepta solo si el efectivo y TUU siguen cobrando. Flow, Mercado Pago, PayPal e iOS quedan fuera de esta barra.</w:t>
      </w:r>
    </w:p>
    <w:p w:rsidR="00000000" w:rsidDel="00000000" w:rsidP="00000000" w:rsidRDefault="00000000" w:rsidRPr="00000000" w14:paraId="00000025">
      <w:pPr>
        <w:spacing w:after="120" w:before="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after="140" w:before="36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2. Quién acepta</w:t>
      </w:r>
    </w:p>
    <w:tbl>
      <w:tblPr>
        <w:tblStyle w:val="Table1"/>
        <w:tblW w:w="9885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2310"/>
        <w:gridCol w:w="2910"/>
        <w:gridCol w:w="4665"/>
        <w:tblGridChange w:id="0">
          <w:tblGrid>
            <w:gridCol w:w="2310"/>
            <w:gridCol w:w="2910"/>
            <w:gridCol w:w="4665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Qué tiene que dar por bueno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José Robles Rocha (DTemite)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incremento resuelve la historia en una demo del flujo real, en el Sprint 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Otro integrante del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Pull request revisado. La rama no entra a main sin esa revisión.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Reinhartd Munzenmayer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Criterios de la historia y regresión (efectivo, TUU, DTE) verificados en dispositivo Android.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before="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Falta una de las tres aceptaciones y la historia sigue En progreso. El Scrum Master facilita la revisión y la retrospectiva; no reemplaza al Product Owner ni a QA.</w:t>
      </w:r>
    </w:p>
    <w:p w:rsidR="00000000" w:rsidDel="00000000" w:rsidP="00000000" w:rsidRDefault="00000000" w:rsidRPr="00000000" w14:paraId="00000035">
      <w:pPr>
        <w:spacing w:after="120" w:before="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spacing w:after="140" w:before="36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3. Definition of Done   código</w:t>
      </w:r>
    </w:p>
    <w:p w:rsidR="00000000" w:rsidDel="00000000" w:rsidP="00000000" w:rsidRDefault="00000000" w:rsidRPr="00000000" w14:paraId="00000037">
      <w:pPr>
        <w:spacing w:after="120" w:before="0" w:line="276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Aplica a toda historia que toque la app, el proxy Webpay o un contrato con la API de DTemite.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La rama sale de main actualizado y se llama feature/HU-XX (o feature/HU-XX-</w:t>
      </w:r>
      <w:r w:rsidDel="00000000" w:rsidR="00000000" w:rsidRPr="00000000">
        <w:rPr>
          <w:sz w:val="22"/>
          <w:szCs w:val="22"/>
          <w:rtl w:val="0"/>
        </w:rPr>
        <w:t xml:space="preserve">descripción</w:t>
      </w: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-corta).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Hay pull request con la historia, qué cambió y cómo se probó.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Un par revisó el pull request antes del merge a main.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El cambio está integrado en main. Una rama abierta no está Hecha.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Se probó en un dispositivo o emulador Android (API 24 o superior).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sdt>
        <w:sdtPr>
          <w:id w:val="1734458607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Si la historia toca venta, cobro o DTE, el flujo venta → cobro → DTE se volvió a recorrer.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Efectivo sigue cerrando la venta y, si el tipo de documento no es 0, sigue a la emisión del DTE.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En Kozen, TUU sigue cobrando crédito y débito. Webpay no reemplaza ese camino.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En celular genérico, Webpay sigue pudiendo cobrar cuando el proxy responde. Si el proxy no está, el cajero igual cobra en efectivo y emite DTE.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La app no almacena PAN ni CVV. La contraseña no queda en texto plano. El token de sesión vive en    MMKV.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Credenciales de Transbank, .env, keystore y tokens del proxy no están en Git.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Los errores de pago y de DTE que ve el cajero están en español, sin stack técnico.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El proyecto Android compila. El flujo que ya estaba en producción de D-PAY (TUU y DTE) no queda roto.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spacing w:after="140" w:before="36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4. Definition of Done   documento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El entregable tiene portada: institución, asignatura, equipo, empresa, Product Owner, fecha y versión.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El archivo está en el repositorio público de GitHub, en la carpeta que corresponde.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Un par lo leyó y dejó la revisión registrada (comentario en el pull request o en el Sprint Review).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Si el cambio altera un endpoint, el modelo de tbl_dpay o la arquitectura, se actualiza codigo/docs (requerimientos, arquitectura o historias).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Los criterios de esta historia coinciden con lo que el código hace. Un criterio que el dispositivo no puede demostrar no se da por cumplido.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spacing w:after="140" w:before="36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5. Definition of Done   sprint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Sprint Review con el Product Owner: demo en el celular o en el Kozen, recorriendo el flujo, no solo diapositivas.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El Product Owner acepta el incremento o lo devuelve con una observación concreta.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Retrospectiva hecha y registrada (Start / Stop / Continue).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Los pull requests del sprint están mergeados, o quedaron diferidos por escrito en el Sprint Backlog.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No quedan defectos críticos abiertos en el flujo que el sprint declaró como objetivo.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spacing w:after="140" w:before="36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6. Regresión que bloquea la aceptación</w:t>
      </w:r>
    </w:p>
    <w:p w:rsidR="00000000" w:rsidDel="00000000" w:rsidP="00000000" w:rsidRDefault="00000000" w:rsidRPr="00000000" w14:paraId="00000055">
      <w:pPr>
        <w:spacing w:after="120" w:before="0" w:line="276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Estas tres pruebas se repiten cada vez que una historia toca cobro, DTE o el enrutamiento de pasarela. Si una falla, la historia no se acepta, aunque la funcionalidad nueva se vea bien.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spacing w:after="100" w:before="26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6.1 Efectivo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En PaymentMethodScreen el cajero elige Efectivo, ingresa el monto recibido y ve el vuelto.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La venta se registra para tbl_dpay con medio de pago efectivo (id de medio 1 en el armado local de la transacción).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Si el documento es boleta o factura (39, 33, 34, 41), el flujo continúa a la emisión del DTE. El comprobante tipo 0 no se envía al SII.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Efectivo funciona en celular genérico y en Kozen, con y sin el proxy Webpay levantado.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spacing w:after="100" w:before="26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6.2 TUU en Kozen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Con perfil TUU_KOZEN y la app com.haulmer.paymentapp instalada, crédito y débito abren el Intent de TUU.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Crédito mapea a id_mediopago 101 y débito a 104. Se guardan authCode, last4 y la comisión D-PAY cuando la empresa la tiene activa.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La transacción aprobada se registra con POST /pos/transaccion y después se vincula el DTE.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Un rechazo o un error de TUU queda con detalle_error. La venta no figura como cobrada.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Webpay no se ofrece como reemplazo de TUU en ese terminal.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spacing w:after="100" w:before="26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6.3 DTE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La emisión usa la API legacy POST /Api/Documento, con folio "0" para que el servidor asigne el número.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Factura 33 calcula desde el neto. Boleta 39 trata el monto como bruto.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Cuando corresponde, el TED se firma en el dispositivo con el CAF (SHA1withRSA) y el ticket puede imprimir el PDF417.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PUT /pos/transaccion/{id}/dte vincula el documento con el pago de efectivo o de TUU.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Nota de crédito tipo 61 y anulación de un pago sin DTE siguen disponibles desde el historial.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spacing w:after="140" w:before="36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7. Criterios de aceptación   Webpay</w:t>
      </w:r>
    </w:p>
    <w:p w:rsidR="00000000" w:rsidDel="00000000" w:rsidP="00000000" w:rsidRDefault="00000000" w:rsidRPr="00000000" w14:paraId="00000069">
      <w:pPr>
        <w:spacing w:after="120" w:before="0" w:line="276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Webpay es parte del producto, no un ítem futuro. El camino es el de celular genérico: la app habla con el proxy Capstone (webpay-proxy) y el proxy habla con el sandbox. Las credenciales de Transbank no viven en el APK.</w:t>
      </w:r>
      <w:r w:rsidDel="00000000" w:rsidR="00000000" w:rsidRPr="00000000">
        <w:rPr>
          <w:rtl w:val="0"/>
        </w:rPr>
      </w:r>
    </w:p>
    <w:tbl>
      <w:tblPr>
        <w:tblStyle w:val="Table2"/>
        <w:tblW w:w="945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975"/>
        <w:gridCol w:w="1965"/>
        <w:gridCol w:w="6510"/>
        <w:tblGridChange w:id="0">
          <w:tblGrid>
            <w:gridCol w:w="975"/>
            <w:gridCol w:w="1965"/>
            <w:gridCol w:w="651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Se acepta cuando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CA-WP.1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Enrutamiento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Perfil GENERIC_MOBILE y proxy con GET /health en ok: crédito y débito salen por WebpayPaymentGateway. En Kozen con TUU, la tarjeta sigue por TUU.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CA-WP.2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secretos en la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APK no contiene commerce code, API key ni credenciales Transbank. El cobro hace POST /payments/webpay/create, abre el checkout y consulta GET /payments/webpay/{id}/status.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CA-WP.3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Estado approved: la venta sigue a SaleCompleted con payment_id y, si el proxy los envía, auth_code y last4.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CA-WP.4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Rechazado, cancelado y tiempo agotado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Declined, cancelled y timeout se muestran en español. La venta no queda cobrada ni se emite un DTE de un pago que no entró.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CA-WP.5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Proxy caído o sin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Webpay no se ofrece, o el cajero ve que la tarjeta no está disponible. Efectivo y DTE siguen. En release, sin URL pública del proxy, Webpay queda desactivado y el resto del POS 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CA-WP.6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pisar TUU ni efectivo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resultado Webpay no se graba en tbl_dpay como transacción TUU ni como efectivo. La evidencia del cobro Webpay queda en el proxy y en la venta local hasta que exista medio de pago oficial.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CA-WP.7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Retorno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checkout puede volver a la app por el deep link dtemitepos://payments/webpay/return.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CA-WP.8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Mock solo en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gateway mock existe para pruebas en __DEV__. Un APK release no cobra con el mock.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before="0" w:line="276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CA-WP.1 a CA-WP.8 se demuestran en celular Android. CA-WP.1, en la parte de Kozen, se demuestra en el terminal. Una historia que implemente o cambie Webpay arrastra además la regresión del apartado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spacing w:after="140" w:before="36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8. Criterios de aceptación por historia</w:t>
      </w:r>
    </w:p>
    <w:p w:rsidR="00000000" w:rsidDel="00000000" w:rsidP="00000000" w:rsidRDefault="00000000" w:rsidRPr="00000000" w14:paraId="00000088">
      <w:pPr>
        <w:spacing w:after="120" w:before="0" w:line="276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La numeración es la del producto completo (HU-01 a HU-14). La detección de dispositivo y la fábrica de pasarelas no son un proyecto aparte: son la forma en que HU-05, HU-06 y Webpay eligen el medio de pago. HU-14 cubre la evidencia de todo ese recorrido, incluido Webpay.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spacing w:after="100" w:before="26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HU-01   Login multi-tenant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CA-01.1  Login contra POST /api/login con RUT de empresa, usuario y contraseña.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CA-01.2  El token se guarda en MMKV y sale en Authorization: bearer {token}.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CA-01.3  Credenciales inválidas muestran error en español, sin stack técnico.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CA-01.4  En el primer login se descargan CAF, catálogo y clientes.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CA-01.5  Logout borra el token y los datos sensibles de la sesión.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spacing w:after="100" w:before="26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HU-02   PIN, biometría y contrato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CA-02.1  El desbloqueo usa PIN de patrón en grilla 3×3.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CA-02.2  La biometría es opcional y queda deshabilitada en el terminal POS.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CA-02.3  La contraseña no se guarda en texto plano. b64pass existe solo para la API legacy de DTE.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CA-02.4  Si falta el anexo dpay_pos, se muestran los términos y se aceptan por /dpay/contrato/aceptar-anexo.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100" w:before="26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HU-03   Armar la venta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CA-03.1  Calculadora táctil para un monto libre.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CA-03.2  Catálogo con búsqueda.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CA-03.3  Escaneo de código de barras.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CA-03.4  El carrito vive en salesStore: ítems y totales.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CA-03.5  Carrito y ventas quedan en MMKV. DTE y TUU necesitan red. Lo pendiente se reintenta.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CA-03.6  Producto rápido (POST /producto/rapido) cuando el tenant tiene crea_productos activo.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spacing w:after="100" w:before="26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HU-04   Documento y cliente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CA-04.1  Tipos 39 (boleta), 33 (factura), 34 y 41 (exentas) y 0 (comprobante).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CA-04.2  Cliente elegido en ClientsScreen, o consumidor final 66666666-6.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CA-04.3  Propina configurable antes de cobrar.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CA-04.4  Cada tipo se puede habilitar o deshabilitar en configuración.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spacing w:after="100" w:before="26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HU-05   Cobro en efectivo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CA-05.1  Efectivo está en PaymentMethodScreen, con monto recibido y vuelto.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CA-05.2  La venta queda registrada para POST /pos/transaccion.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CA-05.3  Si el tipo no es 0, el flujo continúa a la emisión del DTE (HU-07).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CA-05.4  Efectivo sigue disponible aunque Webpay o TUU fallen o no estén instalados.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spacing w:after="100" w:before="26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HU-06   Tarjeta TUU en Kozen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CA-06.1  El cobro abre el Intent Android hacia com.haulmer.paymentapp.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CA-06.2  Crédito es id_mediopago 101 y débito es 104.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CA-06.3  Se capturan authCode, last4 y comisiones, y se registran en POST /pos/transaccion.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CA-06.4  Un fallo de TUU se registra con detalle_error.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CA-06.5  En Kozen con TUU, la tarjeta no se desvía a Webpay. En celular genérico la tarjeta va por Webpay (apartado 7), y el efectivo permanece en ambos.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spacing w:after="100" w:before="26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HU-07   Emisión de DTE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CA-07.1  Emisión por POST /Api/Documento (API legacy).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CA-07.2  El folio se envía como "0" para que lo asigne el servidor.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CA-07.3  Factura 33 desde el neto. Boleta 39 desde el bruto.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CA-07.4  Firma TED local con CAF (SHA1withRSA) cuando aplica.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CA-07.5  Se genera el PDF del documento.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CA-07.6  PUT /pos/transaccion/{id}/dte vincula el DTE con el pago de efectivo o de TUU.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CA-07.7  El tipo 0 no se emite al SII.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CA-07.8  Un cobro Webpay rechazado, cancelado o sin confirmar no dispara la emisión.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spacing w:after="100" w:before="26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HU-08   Historial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CA-08.1  Filtro por fecha, tipo de documento y folio en MySalesScreen.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CA-08.2  La lista une ventas locales pendientes y documentos del servidor.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CA-08.3  Hay sincronización manual de lo pendiente.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spacing w:after="100" w:before="26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HU-09   Nota de crédito y anulación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CA-09.1  Nota de crédito total o por corrección de monto (CreditNoteScreen, tipo 61).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CA-09.2  Un pago sin DTE se anula con PUT /pos/transaccion/{id}/anular.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CA-09.3  El historial muestra el estado de pago actualizado.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spacing w:after="100" w:before="26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HU-10   Impresión Bluetooth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CA-10.1  Impresora térmica ESC/POS por Bluetooth.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CA-10.2  Impresión automática de documento, voucher o ambos, según configuración.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CA-10.3  El ticket incluye el TED en PDF417 cuando hay DTE.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spacing w:after="100" w:before="26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HU-11   Payment Hub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CA-11.1  D-PAY recibe intents por polling del agente, con el modo gateway activo.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CA-11.2  Muestra el monto y dispara el cobro local (TUU en Kozen, o el medio que corresponda).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CA-11.3  El resultado vuelve al Hub y el cobro local que sí es de plataforma queda en tbl_dpay.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spacing w:after="100" w:before="26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HU-12   Configuración del POS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CA-12.1  Logo, encabezado y pie de la impresión.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CA-12.2  Habilitar y deshabilitar tipos de documento.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CA-12.3  Ver comisiones D-PAY (fija o mixta).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CA-12.4  Tema claro y oscuro.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CA-12.5  Los métodos de pago ofrecidos respetan el dispositivo: efectivo siempre; tarjeta TUU en Kozen; tarjeta Webpay en celular cuando el proxy está sano.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spacing w:after="100" w:before="26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HU-13   Documentación del producto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CA-13.1  Visión, backlog, requerimientos, arquitectura, modelo de datos y UML del POS completo.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CA-13.2  Queda escrito qué es el ERP DTemite y qué es D-PAY.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CA-13.3  Este Definition of Done y los entregables de Fase 1 están en el repositorio, con portada y revisión de un par.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spacing w:after="100" w:before="26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HU-14   Pruebas del flujo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CA-14.1  Hay evidencia de login, venta en efectivo con boleta, historial, nota de crédito e impresión.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CA-14.2  Hay evidencia de TUU en Kozen: aprobado y al menos un rechazo o error, más la regresión de que ese camino sigue vivo después de Webpay.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CA-14.3  Hay evidencia de Webpay en celular: aprobado, rechazado o cancelado, y proxy apagado con efectivo todavía operable.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CA-14.4  Hay evidencia de Payment Hub y de que el repositorio no contiene secretos, PAN ni CVV.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sdt>
        <w:sdtPr>
          <w:id w:val="-1738860455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CA-14.5  Cero defectos críticos abiertos en venta → cobro → DTE al momento de la defensa.</w:t>
          </w:r>
        </w:sdtContent>
      </w:sdt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spacing w:after="140" w:before="36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9. Requerimientos no funcionales que viajan con toda historia</w:t>
      </w:r>
    </w:p>
    <w:p w:rsidR="00000000" w:rsidDel="00000000" w:rsidP="00000000" w:rsidRDefault="00000000" w:rsidRPr="00000000" w14:paraId="000000D6">
      <w:pPr>
        <w:spacing w:after="120" w:before="0" w:line="276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No son historias separadas. Si una historia los incumple, no está Hecha. Prioridad Must: bloquea la aceptación. Should: se registra y el Product Owner decide si difiere.</w:t>
      </w:r>
      <w:r w:rsidDel="00000000" w:rsidR="00000000" w:rsidRPr="00000000">
        <w:rPr>
          <w:rtl w:val="0"/>
        </w:rPr>
      </w:r>
    </w:p>
    <w:tbl>
      <w:tblPr>
        <w:tblStyle w:val="Table3"/>
        <w:tblW w:w="1011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1125"/>
        <w:gridCol w:w="7320"/>
        <w:gridCol w:w="1665"/>
        <w:tblGridChange w:id="0">
          <w:tblGrid>
            <w:gridCol w:w="1125"/>
            <w:gridCol w:w="7320"/>
            <w:gridCol w:w="1665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RNF-01.1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Login en menos de 3 segundos en red 4G.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RNF-01.2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 Kozen, el Intent de TUU parte en menos de 2 segundos tras confirmar el monto.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RNF-01.3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Catálogo de hasta 500 productos carga en menos de 5 segundos.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RNF-01.4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Emisión del DTE, incluida la firma, en menos de 15 segundos.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RNF-01.5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 el proxy en la red local, el checkout Webpay queda abierto en menos de 10 segundos tras confirmar la tarjeta.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RNF-02.1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Token de sesión en MMKV. No en AsyncStorage plano.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RNF-02.2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Contraseña nunca en texto plano.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RNF-02.3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API de DTemite solo por HTTPS (TLS 1.2 o superior).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RNF-02.4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PAN ni CVV en el dispositivo, en el proxy ni en el repositorio. PCI: el dato de tarjeta lo ve TUU o Transbank, no D-PAY.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RNF-02.5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Keystore, .env y credenciales del proxy fuera de Git.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RNF-03.1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Venta en efectivo armable sin conexión y reintento al volver la red.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RNF-03.2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Transacciones fallidas de TUU y de Webpay quedan identificables. No se muestran como cobro exitoso.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RNF-04.1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Errores de pago y de DTE en español.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RNF-05.1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Android API 24 (7.0) como mínimo.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RNF-05.2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Kozen P8 Neo (armeabi-v7a) para el camino TUU.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RNF-05.3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Celular Android para efectivo, DTE y Webpay.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RNF-08.1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DTE conforme a la normativa del SII: tipos 33, 34, 39, 41 y nota de crédito 61.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RNF-09.1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Repositorio público sin secretos.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pStyle w:val="Heading1"/>
        <w:spacing w:after="140" w:before="360" w:lineRule="auto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spacing w:after="140" w:before="36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10. Fuera de esta barra de aceptación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Reescribir el ERP web de DTemite. D-PAY lo consume por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Flow, Mercado Pago y PayPal.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App 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Guardar el cobro Webpay dentro de tbl_dpay con un medio de pago que la plataforma todavía no tiene. Hasta ese medio oficial, la evidencia es el proxy y la venta en la app, sin disfrazarla de TUU ni de efectivo.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Cobrar con el gateway mock en un APK de release.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spacing w:after="140" w:before="36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11. Cómo se dice que el producto está aceptado</w:t>
      </w:r>
    </w:p>
    <w:p w:rsidR="00000000" w:rsidDel="00000000" w:rsidP="00000000" w:rsidRDefault="00000000" w:rsidRPr="00000000" w14:paraId="00000119">
      <w:pPr>
        <w:spacing w:after="120" w:before="0" w:line="276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El incremento del Capstone está aceptado cuando se cumplen los cuatro puntos siguientes.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HU-01 a HU-12 demostradas en dispositivo, con los criterios del apartado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Webpay demostrado con CA-WP.1 a CA-WP.8, y efectivo y TUU todavía verdes (apartado 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sdt>
        <w:sdtPr>
          <w:id w:val="-85306923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HU-13 y HU-14 con documentación en GitHub y evidencias de prueba. Cero críticos abiertos en venta → cobro → DTE.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Definition of Done de código, documento y sprint marcada, con aceptación de Product Owner, par y QA.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000" w:top="1000" w:left="1000" w:right="700.2755905511822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1">
    <w:pPr>
      <w:jc w:val="center"/>
      <w:rPr/>
    </w:pPr>
    <w:r w:rsidDel="00000000" w:rsidR="00000000" w:rsidRPr="00000000">
      <w:rPr>
        <w:rFonts w:ascii="Calibri" w:cs="Calibri" w:eastAsia="Calibri" w:hAnsi="Calibri"/>
        <w:color w:val="666666"/>
        <w:sz w:val="16"/>
        <w:szCs w:val="16"/>
        <w:rtl w:val="0"/>
      </w:rPr>
      <w:t xml:space="preserve">Documento de aceptación del producto  ·  página </w:t>
    </w:r>
    <w:r w:rsidDel="00000000" w:rsidR="00000000" w:rsidRPr="00000000"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color w:val="666666"/>
        <w:sz w:val="16"/>
        <w:szCs w:val="16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F">
    <w:pPr>
      <w:rPr/>
    </w:pPr>
    <w:r w:rsidDel="00000000" w:rsidR="00000000" w:rsidRPr="00000000">
      <w:rPr/>
      <w:drawing>
        <wp:inline distB="114300" distT="114300" distL="114300" distR="114300">
          <wp:extent cx="2981325" cy="692467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981325" cy="69246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 xml:space="preserve">                    </w:t>
    </w:r>
    <w:r w:rsidDel="00000000" w:rsidR="00000000" w:rsidRPr="00000000">
      <w:rPr/>
      <w:drawing>
        <wp:inline distB="114300" distT="114300" distL="114300" distR="114300">
          <wp:extent cx="2762250" cy="701992"/>
          <wp:effectExtent b="0" l="0" r="0" t="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62250" cy="70199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0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XiAW/xmZhTLPjl0OYKSzQEz4rg==">CgMxLjAaEgoBMBINCgsIB0IHEgVDYXJkbxoSCgExEg0KCwgHQgcSBUNhcmRvGhIKATISDQoLCAdCBxIFQ2FyZG84AHIhMUVxV2NhZTZIUS1YZUlpUUNLUnRsRXFWenhuZGNkZ3Aw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2026-09-27T23:22:29.061Z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