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546C7" w14:textId="77777777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4457BE38" w14:textId="77777777" w:rsidTr="25FC3610">
        <w:trPr>
          <w:trHeight w:val="2192"/>
        </w:trPr>
        <w:tc>
          <w:tcPr>
            <w:tcW w:w="0" w:type="auto"/>
          </w:tcPr>
          <w:p w14:paraId="52191017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268B2D5B" w14:textId="77777777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75295317" w14:textId="77777777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4D5F1918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659702" w14:textId="77777777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545280BD" w14:textId="77777777" w:rsidR="002C4FB7" w:rsidRDefault="002C4FB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C21B663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86E171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45EEB1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1. Mira tu carta Gantt y reflexiona sobre los avances de tu Proyecto APT</w:t>
            </w:r>
          </w:p>
        </w:tc>
      </w:tr>
      <w:tr w:rsidR="004F2A8B" w14:paraId="6AA08EBF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7278B49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1BB583B0" w14:textId="5D6A8EEE" w:rsidR="004F2A8B" w:rsidRPr="00DD4055" w:rsidRDefault="00DD4055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Parcialmente: no se cumplieron todas las actividades en las fechas de la carta Gantt v2.0.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246B322C" w14:textId="0EC8E45D" w:rsidR="00DD4055" w:rsidRDefault="004F2A8B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La Gantt ubicaba en el Sprint 1 (08/09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> al 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21/09) el login, la sesión y el armado de la venta, y en el Sprint 2 (22/09–05/10) el cobro y la emisión de DTE. En la práctica, los sprints 1 y 2 se usaron para el diferenciador Capstone: la capa PaymentGateway, el proxy Webpay y el cobro por QR en un Celular Android (PR #7 a #15). </w:t>
            </w:r>
          </w:p>
          <w:p w14:paraId="1D89C7A3" w14:textId="7E31893E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POS heredado ya permitía vender y cobrar en efectivo; sin la factory no había Webpay en un celular genérico. Quedaron evidenciados el pago aprobado, el rechazado y la cancelación (03/10 y 04/10) y la venta en efectivo con historial local (27/09). La emisión de DTE, prevista en el Sprint 2, pasó al Sprint 3 y sigue abierta. El Sprint 3 (06/10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> al 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>17/10) está en curso.</w:t>
            </w:r>
          </w:p>
          <w:p w14:paraId="49BC83BE" w14:textId="68C30EAE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Facilitaron el trabajo el POS D-PAY 2.0 operable y el cobro TUU/Kozen en producción, los códigos públicos de integración de Transbank, un Celular Android de pruebas, la revisión por Pull Request y las pruebas automáticas (Jest 17/17 el 11/10).</w:t>
            </w:r>
          </w:p>
          <w:p w14:paraId="6016ED75" w14:textId="13D15A21" w:rsidR="004F2A8B" w:rsidRPr="00874D16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Dificultaron el plan el celular genérico sin TUU, el proxy que no responde en 127.0.0.1 sin cable USB (DEF-NET), la red móvil que no enruta la red local, la deriva del timeout del checkout (cerrada; oficial 300 s), la falta de un terminal Kozen en el equipo (TC-064 a cargo de Diego) y un mismo ID de caso usado para tres escenarios, corregido el 11/10.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</w:tc>
      </w:tr>
    </w:tbl>
    <w:p w14:paraId="2C912F26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F0E833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30DE0B" w14:textId="77777777" w:rsidR="00DD4055" w:rsidRDefault="00DD4055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6B6988D5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8CA7EA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 xml:space="preserve">2. </w:t>
            </w:r>
          </w:p>
        </w:tc>
      </w:tr>
      <w:tr w:rsidR="004F2A8B" w14:paraId="43205C84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AB34E1C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5BC87664" w14:textId="77777777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Cada dificultad quedó con un ajuste concreto y un responsable, sin adelantar resultados que aún no existen.</w:t>
            </w:r>
          </w:p>
          <w:p w14:paraId="3472BB96" w14:textId="77777777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celular genérico no es un terminal Kozen: se usa el perfil GENERIC_MOBILE y Webpay, en vez de forzar TUU. La regresión del cobro TUU se cubre con 17 pruebas unitarias en verde; TC-064 sigue bloqueado, en espera de ejecución por Diego Madrid (TUU/Kozen en producción).</w:t>
            </w:r>
          </w:p>
          <w:p w14:paraId="30933A7E" w14:textId="327FBE8F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proxy apagado o en 127.0.0.1 sin USB (DEF-NET) se documentó; se usa la IP de la red local, NetInfo y un timeout de fetch de 8 s. El re-test del error de conexión (TC-063) sin cable USB es mi compromiso en el Sprint 3. Si el cliente está en red móvil, hace falta un túnel HTTPS o un hotspot; esa decisión queda con Diego Madrid y Pablo Gutiérrez.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1B37B4D0" w14:textId="452FEEE7" w:rsidR="004F2A8B" w:rsidRPr="00874D16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El timeout oficial del checkout es 300 s. La emisión de DTE se movió al Sprint 3 y no se declara cerrada. Los IDs de evidencia se renombraron el 11/10. 06 y 07 ya están en Drive. Pablo Gutiérrez y Diego Madrid publican, revisan y actualizan en Git (PR #17).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</w:tc>
      </w:tr>
    </w:tbl>
    <w:p w14:paraId="4B89FC5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B7D1091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A26156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3. Hasta el momento:</w:t>
            </w:r>
          </w:p>
        </w:tc>
      </w:tr>
      <w:tr w:rsidR="004F2A8B" w14:paraId="0E14EEEA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7F13981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5C37F7DB" w14:textId="18F15EBC" w:rsidR="004F2A8B" w:rsidRDefault="00DD4055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T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rabajo como logrado, no como cerrado. 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>Como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 QA y responsable de HU-06, de 06 Evidencia de Retrospectiva y de 07 Plan de Pruebas.</w:t>
            </w:r>
          </w:p>
          <w:p w14:paraId="6A2C7F46" w14:textId="3589911A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Destaco el Plan de Pruebas v1.2 según ISO/IEC/IEEE 29119-3, el catálogo de 19 casos con estados (15 OK, 2 parciales, 1 NOK, 1 bloqueado), las actas S01 y S02 firmadas por los tres el 04/10, el catálogo RNF v1.0.1 (32 RNF; 16 de 22 Must en OK) y las sesiones en el Celular Android entre el 19/09 y el 04/10 (aprobado, rechazado, cancelación, efectivo).</w:t>
            </w:r>
          </w:p>
          <w:p w14:paraId="481B7DCA" w14:textId="7990750C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Para mejorar: ejecutar el re-test de TC-063 sin USB; registrar la versión de Android del celular de pruebas; pedir revisión cruzada de mis documentos antes de cada entrega. </w:t>
            </w:r>
          </w:p>
          <w:p w14:paraId="61B594A8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541E407A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79C6E60" w14:textId="77777777" w:rsidR="004F2A8B" w:rsidRDefault="004F2A8B" w:rsidP="3D28A338"/>
    <w:p w14:paraId="05D0DC7A" w14:textId="77777777" w:rsidR="00DD4055" w:rsidRDefault="00DD4055" w:rsidP="3D28A338"/>
    <w:p w14:paraId="7636ED5B" w14:textId="77777777" w:rsidR="00DD4055" w:rsidRDefault="00DD4055" w:rsidP="3D28A338"/>
    <w:p w14:paraId="17F294D1" w14:textId="77777777" w:rsidR="00DD4055" w:rsidRDefault="00DD4055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482503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7431B7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2C38CC30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64D3F74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4C881251" w14:textId="2FC1941E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Inquietudes en el procedimiento. El proyecto puede cobrar con Webpay en un celular genérico, pero no es aún un POS completo: faltan DTE con folio SII, el re-test de conexión y la regresión manual TUU/Kozen. </w:t>
            </w:r>
            <w:r w:rsidR="00DD4055"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</w:p>
          <w:p w14:paraId="5444CF2F" w14:textId="77777777" w:rsidR="003C546E" w:rsidRDefault="003C546E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A mis colegas en el trabajo;</w:t>
            </w:r>
          </w:p>
          <w:p w14:paraId="235D476E" w14:textId="0824A940" w:rsidR="004F2A8B" w:rsidRDefault="004F2A8B" w:rsidP="3D28A338">
            <w:pPr>
              <w:spacing w:after="160" w:line="276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¿Cómo fue el trabajo que realizamos en conjunto, la experiencia y cooperación, y si logramos alguna sinergia?, para ustedes que ya están inmersos en el área de desarrollo, ¿qué tan cercano fue esta experiencia con la vida real laboral?, ¿qué consejos, tips y ayuda me pueden dar en base a su experiencia?, ¿cómo se ve el desarrollo y el uso de la IA, así como la utilizamos y aplicamos en este proyecto?.</w:t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4C89FC3C" w14:textId="77777777" w:rsidR="004F2A8B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49E6941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19FE24A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5D104FE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26E980E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EB95471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1C2FF89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7027ED2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65C82FE1" w14:textId="3BD224E2" w:rsidR="004F2A8B" w:rsidRDefault="004F2A8B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Los roles de fondo se mantienen: Diego Madrid, arquitectura e integración Webpay (DAS y manual de despliegue); Pablo Gutiérrez, Scrum Master, Sprint Backlog y Definition of Done, y publicación en Git; Reinhartd Munzenmayer, QA, HU-06, retrospectivas y plan de pruebas. Redistribuir esas carteras a mitad del Sprint 3 rompería la trazabilidad de 06 y 07.</w:t>
            </w:r>
          </w:p>
          <w:p w14:paraId="78980C3A" w14:textId="77777777" w:rsidR="003C546E" w:rsidRDefault="003C546E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Existen actividades pendientes las redistribuimos, y según el avance y necesidad podemos replantearnos los roles, los cuales nos definen, pero no son estáticos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. </w:t>
            </w:r>
          </w:p>
          <w:p w14:paraId="0E6AC8F5" w14:textId="77777777" w:rsidR="003C546E" w:rsidRDefault="004F2A8B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Diego: ejecutar TC-064, confirmar la versión de Android, avanzar DTE / tbl_dpay. </w:t>
            </w:r>
          </w:p>
          <w:p w14:paraId="303F9683" w14:textId="77777777" w:rsidR="003C546E" w:rsidRDefault="004F2A8B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Pablo: convocar Review y Retro S03, mover Trello a mano (D-02) y publicar, revisar y actualizar el PR #17. </w:t>
            </w:r>
          </w:p>
          <w:p w14:paraId="4BE1B2AA" w14:textId="4FE85E57" w:rsidR="004F2A8B" w:rsidRDefault="003C546E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Reinhartd: re-test de TC-063 sin USB y completar las muestras de login y de apertura Webpay que siguen parciales.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2C8FFB20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AA1CC86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4A428644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28D2506" w14:textId="77777777" w:rsidR="003C546E" w:rsidRDefault="003C546E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52C516E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3EB577E3" w14:textId="77777777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>. APT  grupal</w:t>
            </w:r>
          </w:p>
        </w:tc>
      </w:tr>
      <w:tr w:rsidR="004F2A8B" w14:paraId="43E1DCD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6E0C9B25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2AD9C1E0" w14:textId="591D984B" w:rsidR="003C546E" w:rsidRDefault="003C546E" w:rsidP="3D28A338">
            <w:pPr>
              <w:spacing w:after="160" w:line="276" w:lineRule="auto"/>
              <w:jc w:val="both"/>
              <w:rPr>
                <w:rFonts w:ascii="Calibri" w:eastAsia="Calibri" w:hAnsi="Calibri" w:cs="Calibri"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Desde mi punto de vista personal, el 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>trabajo en grupo es sólido en el producto y en las ceremonias,</w:t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> pero debemos manejar e igual las publicaciones que son los puntos medibles</w:t>
            </w:r>
            <w:r w:rsidR="004F2A8B">
              <w:rPr>
                <w:rFonts w:ascii="Calibri" w:eastAsia="Calibri" w:hAnsi="Calibri" w:cs="Calibri"/>
                <w:color w:val="000000"/>
                <w:sz w:val="24"/>
              </w:rPr>
              <w:t xml:space="preserve">. </w:t>
            </w:r>
          </w:p>
          <w:p w14:paraId="74A8C49D" w14:textId="76475D78" w:rsidR="004F2A8B" w:rsidRDefault="004F2A8B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Lo positivo: las actas S01 y S02 están firmadas por los tres; cada incremento entra por Pull Request; D-PAY 2.0 en producción (Diego) es la línea base y no se trata como abandonada; los bloqueos se informan como bloqueos (TC-064, DTE).</w:t>
            </w:r>
          </w:p>
          <w:p w14:paraId="098BA3B7" w14:textId="60BDE60D" w:rsidR="004F2A8B" w:rsidRDefault="004F2A8B" w:rsidP="3D28A338">
            <w:pPr>
              <w:spacing w:after="160" w:line="276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Calibri" w:eastAsia="Calibri" w:hAnsi="Calibri" w:cs="Calibri"/>
                <w:color w:val="000000"/>
                <w:sz w:val="24"/>
              </w:rPr>
              <w:t>Lo que podemos mejorar: 06 y 07 ya están en Drive; Pablo y Diego publican, revisan y actualizan en Git (el PR #17 sigue abierto); Trello no está automatizado y hay que mover las tarjetas a mano; la Retro S03 no se ha realizado. El ambiente de trabajo es colaborativo.</w:t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  <w:r>
              <w:rPr>
                <w:rFonts w:ascii="Calibri" w:eastAsia="Calibri" w:hAnsi="Calibri" w:cs="Calibri"/>
                <w:color w:val="000000"/>
                <w:sz w:val="24"/>
              </w:rPr>
              <w:t xml:space="preserve"/>
            </w:r>
            <w:r w:rsidR="003C546E">
              <w:rPr>
                <w:rFonts w:ascii="Calibri" w:eastAsia="Calibri" w:hAnsi="Calibri" w:cs="Calibri"/>
                <w:color w:val="000000"/>
                <w:sz w:val="24"/>
              </w:rPr>
              <w:t/>
            </w:r>
          </w:p>
          <w:p w14:paraId="4D144D84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EE96F9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229604" w14:textId="77777777" w:rsidR="004F2A8B" w:rsidRPr="00874D16" w:rsidRDefault="004F2A8B" w:rsidP="3D28A338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4AE1DF39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63D739C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83A54" w14:textId="77777777" w:rsidR="003A2B2C" w:rsidRDefault="003A2B2C" w:rsidP="00DF38AE">
      <w:pPr>
        <w:spacing w:after="0" w:line="240" w:lineRule="auto"/>
      </w:pPr>
      <w:r>
        <w:separator/>
      </w:r>
    </w:p>
  </w:endnote>
  <w:endnote w:type="continuationSeparator" w:id="0">
    <w:p w14:paraId="593F8D9F" w14:textId="77777777" w:rsidR="003A2B2C" w:rsidRDefault="003A2B2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66FE3FF5" w14:textId="77777777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08D46" w14:textId="77777777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02F08D46" w14:textId="77777777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  <w:p w14:paraId="42E89470" w14:textId="77777777" w:rsidR="00A62BFF" w:rsidRDefault="00000000">
    <w:pPr>
      <w:jc w:val="center"/>
    </w:pPr>
    <w:r>
      <w:rPr>
        <w:rFonts w:ascii="Calibri" w:hAnsi="Calibri"/>
        <w:sz w:val="20"/>
      </w:rPr>
      <w:fldChar w:fldCharType="begin"/>
    </w:r>
    <w:r>
      <w:rPr>
        <w:rFonts w:ascii="Calibri" w:hAnsi="Calibri"/>
        <w:sz w:val="20"/>
      </w:rPr>
      <w:instrText xml:space="preserve"> PAGE </w:instrText>
    </w:r>
    <w:r w:rsidR="00DD4055">
      <w:rPr>
        <w:rFonts w:ascii="Calibri" w:hAnsi="Calibri"/>
        <w:sz w:val="20"/>
      </w:rPr>
      <w:fldChar w:fldCharType="separate"/>
    </w:r>
    <w:r w:rsidR="00DD4055">
      <w:rPr>
        <w:rFonts w:ascii="Calibri" w:hAnsi="Calibri"/>
        <w:noProof/>
        <w:sz w:val="20"/>
      </w:rPr>
      <w:t>0</w:t>
    </w:r>
    <w:r>
      <w:rPr>
        <w:rFonts w:ascii="Calibri" w:hAnsi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3A2D1" w14:textId="77777777" w:rsidR="003A2B2C" w:rsidRDefault="003A2B2C" w:rsidP="00DF38AE">
      <w:pPr>
        <w:spacing w:after="0" w:line="240" w:lineRule="auto"/>
      </w:pPr>
      <w:r>
        <w:separator/>
      </w:r>
    </w:p>
  </w:footnote>
  <w:footnote w:type="continuationSeparator" w:id="0">
    <w:p w14:paraId="7C589952" w14:textId="77777777" w:rsidR="003A2B2C" w:rsidRDefault="003A2B2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44532FD6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3B87A13F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5D41D2AA" w14:textId="77777777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413BA95C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DD13F4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65F076C" w14:textId="77777777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7E84F9BA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03ABE7E9" w14:textId="7777777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74EC8705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3104BF8E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E35846D" w14:textId="77777777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06261B46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7EF0FF74" w14:textId="77777777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E6D46B0" w14:textId="77777777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4447779">
    <w:abstractNumId w:val="3"/>
  </w:num>
  <w:num w:numId="2" w16cid:durableId="1254896622">
    <w:abstractNumId w:val="8"/>
  </w:num>
  <w:num w:numId="3" w16cid:durableId="2041970774">
    <w:abstractNumId w:val="12"/>
  </w:num>
  <w:num w:numId="4" w16cid:durableId="1303075369">
    <w:abstractNumId w:val="28"/>
  </w:num>
  <w:num w:numId="5" w16cid:durableId="325717117">
    <w:abstractNumId w:val="30"/>
  </w:num>
  <w:num w:numId="6" w16cid:durableId="1119880899">
    <w:abstractNumId w:val="4"/>
  </w:num>
  <w:num w:numId="7" w16cid:durableId="422848287">
    <w:abstractNumId w:val="11"/>
  </w:num>
  <w:num w:numId="8" w16cid:durableId="953828376">
    <w:abstractNumId w:val="19"/>
  </w:num>
  <w:num w:numId="9" w16cid:durableId="936988074">
    <w:abstractNumId w:val="15"/>
  </w:num>
  <w:num w:numId="10" w16cid:durableId="2058309051">
    <w:abstractNumId w:val="9"/>
  </w:num>
  <w:num w:numId="11" w16cid:durableId="1124233307">
    <w:abstractNumId w:val="24"/>
  </w:num>
  <w:num w:numId="12" w16cid:durableId="1286153368">
    <w:abstractNumId w:val="35"/>
  </w:num>
  <w:num w:numId="13" w16cid:durableId="592058478">
    <w:abstractNumId w:val="29"/>
  </w:num>
  <w:num w:numId="14" w16cid:durableId="533084368">
    <w:abstractNumId w:val="1"/>
  </w:num>
  <w:num w:numId="15" w16cid:durableId="1891267065">
    <w:abstractNumId w:val="36"/>
  </w:num>
  <w:num w:numId="16" w16cid:durableId="902066036">
    <w:abstractNumId w:val="21"/>
  </w:num>
  <w:num w:numId="17" w16cid:durableId="1304382967">
    <w:abstractNumId w:val="17"/>
  </w:num>
  <w:num w:numId="18" w16cid:durableId="1982924556">
    <w:abstractNumId w:val="31"/>
  </w:num>
  <w:num w:numId="19" w16cid:durableId="126246323">
    <w:abstractNumId w:val="10"/>
  </w:num>
  <w:num w:numId="20" w16cid:durableId="634794592">
    <w:abstractNumId w:val="39"/>
  </w:num>
  <w:num w:numId="21" w16cid:durableId="1382317865">
    <w:abstractNumId w:val="34"/>
  </w:num>
  <w:num w:numId="22" w16cid:durableId="1386293059">
    <w:abstractNumId w:val="13"/>
  </w:num>
  <w:num w:numId="23" w16cid:durableId="608852539">
    <w:abstractNumId w:val="14"/>
  </w:num>
  <w:num w:numId="24" w16cid:durableId="1095663381">
    <w:abstractNumId w:val="5"/>
  </w:num>
  <w:num w:numId="25" w16cid:durableId="1665889066">
    <w:abstractNumId w:val="16"/>
  </w:num>
  <w:num w:numId="26" w16cid:durableId="2116555476">
    <w:abstractNumId w:val="20"/>
  </w:num>
  <w:num w:numId="27" w16cid:durableId="1847475126">
    <w:abstractNumId w:val="23"/>
  </w:num>
  <w:num w:numId="28" w16cid:durableId="2059283960">
    <w:abstractNumId w:val="0"/>
  </w:num>
  <w:num w:numId="29" w16cid:durableId="1052921615">
    <w:abstractNumId w:val="18"/>
  </w:num>
  <w:num w:numId="30" w16cid:durableId="691226962">
    <w:abstractNumId w:val="22"/>
  </w:num>
  <w:num w:numId="31" w16cid:durableId="1187719156">
    <w:abstractNumId w:val="2"/>
  </w:num>
  <w:num w:numId="32" w16cid:durableId="744691868">
    <w:abstractNumId w:val="7"/>
  </w:num>
  <w:num w:numId="33" w16cid:durableId="1846044639">
    <w:abstractNumId w:val="32"/>
  </w:num>
  <w:num w:numId="34" w16cid:durableId="914555982">
    <w:abstractNumId w:val="38"/>
  </w:num>
  <w:num w:numId="35" w16cid:durableId="256796079">
    <w:abstractNumId w:val="6"/>
  </w:num>
  <w:num w:numId="36" w16cid:durableId="1096361332">
    <w:abstractNumId w:val="25"/>
  </w:num>
  <w:num w:numId="37" w16cid:durableId="568227827">
    <w:abstractNumId w:val="37"/>
  </w:num>
  <w:num w:numId="38" w16cid:durableId="333067517">
    <w:abstractNumId w:val="27"/>
  </w:num>
  <w:num w:numId="39" w16cid:durableId="491607443">
    <w:abstractNumId w:val="26"/>
  </w:num>
  <w:num w:numId="40" w16cid:durableId="39672023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2B2C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546E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086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2BFF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055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D7E25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1064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REINHARTD UDO MUNZENMAYER BRAVO</cp:lastModifiedBy>
  <cp:revision>43</cp:revision>
  <cp:lastPrinted>2019-12-16T20:10:00Z</cp:lastPrinted>
  <dcterms:created xsi:type="dcterms:W3CDTF">2021-12-31T12:50:00Z</dcterms:created>
  <dcterms:modified xsi:type="dcterms:W3CDTF">2026-10-12T18:24:00Z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