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2">
      <w:pPr>
        <w:spacing w:after="40" w:before="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3">
      <w:pPr>
        <w:spacing w:after="40" w:before="0" w:line="259" w:lineRule="auto"/>
        <w:jc w:val="center"/>
        <w:rPr>
          <w:rFonts w:ascii="Times New Roman" w:cs="Times New Roman" w:eastAsia="Times New Roman" w:hAnsi="Times New Roman"/>
          <w:b w:val="1"/>
          <w:bCs w:val="1"/>
          <w:i w:val="0"/>
          <w:iCs w:val="0"/>
          <w:sz w:val="52"/>
          <w:szCs w:val="52"/>
        </w:rPr>
      </w:pPr>
      <w:r w:rsidDel="00000000" w:rsidR="00000000" w:rsidRPr="00000000">
        <w:rPr>
          <w:rFonts w:ascii="Times New Roman" w:cs="Times New Roman" w:eastAsia="Times New Roman" w:hAnsi="Times New Roman"/>
          <w:b w:val="1"/>
          <w:bCs w:val="1"/>
          <w:i w:val="0"/>
          <w:iCs w:val="0"/>
          <w:sz w:val="52"/>
          <w:szCs w:val="52"/>
          <w:rtl w:val="0"/>
        </w:rPr>
        <w:t xml:space="preserve">INFORME DE SPRINT 2</w:t>
      </w:r>
    </w:p>
    <w:p w:rsidR="00000000" w:rsidDel="00000000" w:rsidP="00000000" w:rsidRDefault="00000000" w:rsidRPr="00000000" w14:paraId="00000004">
      <w:pPr>
        <w:spacing w:after="40" w:before="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5">
      <w:pPr>
        <w:spacing w:after="40" w:before="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6">
      <w:pPr>
        <w:spacing w:after="40" w:before="0" w:line="259"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sz w:val="28"/>
          <w:szCs w:val="28"/>
          <w:rtl w:val="0"/>
        </w:rPr>
        <w:t xml:space="preserve">D-PAY 3.0 - POS móvil de DTemite</w:t>
      </w:r>
      <w:r w:rsidDel="00000000" w:rsidR="00000000" w:rsidRPr="00000000">
        <w:rPr>
          <w:rtl w:val="0"/>
        </w:rPr>
      </w:r>
    </w:p>
    <w:p w:rsidR="00000000" w:rsidDel="00000000" w:rsidP="00000000" w:rsidRDefault="00000000" w:rsidRPr="00000000" w14:paraId="00000007">
      <w:pPr>
        <w:spacing w:after="200" w:before="0" w:line="259"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Elegir el documento y cobrar en efectivo y con TUU en Kozen. Esos dos caminos quedan como línea base.</w:t>
      </w:r>
    </w:p>
    <w:p w:rsidR="00000000" w:rsidDel="00000000" w:rsidP="00000000" w:rsidRDefault="00000000" w:rsidRPr="00000000" w14:paraId="00000008">
      <w:pPr>
        <w:spacing w:after="200" w:before="0" w:line="259" w:lineRule="auto"/>
        <w:jc w:val="cente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9">
      <w:pPr>
        <w:spacing w:after="200" w:before="0" w:line="259" w:lineRule="auto"/>
        <w:jc w:val="cente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A">
      <w:pPr>
        <w:spacing w:after="200" w:before="0" w:line="259" w:lineRule="auto"/>
        <w:jc w:val="cente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B">
      <w:pPr>
        <w:spacing w:after="200" w:before="0" w:line="259" w:lineRule="auto"/>
        <w:jc w:val="cente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C">
      <w:pPr>
        <w:spacing w:after="200" w:before="0" w:line="259" w:lineRule="auto"/>
        <w:jc w:val="cente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D">
      <w:pPr>
        <w:spacing w:after="240" w:before="0" w:line="259" w:lineRule="auto"/>
        <w:jc w:val="center"/>
        <w:rPr>
          <w:rFonts w:ascii="Times New Roman" w:cs="Times New Roman" w:eastAsia="Times New Roman" w:hAnsi="Times New Roman"/>
        </w:rPr>
      </w:pPr>
      <w:r w:rsidDel="00000000" w:rsidR="00000000" w:rsidRPr="00000000">
        <w:rPr>
          <w:rtl w:val="0"/>
        </w:rPr>
      </w:r>
    </w:p>
    <w:tbl>
      <w:tblPr>
        <w:tblStyle w:val="Table1"/>
        <w:tblW w:w="10200.0" w:type="dxa"/>
        <w:jc w:val="left"/>
        <w:tblInd w:w="-115.0" w:type="dxa"/>
        <w:tblLayout w:type="fixed"/>
        <w:tblLook w:val="0400"/>
      </w:tblPr>
      <w:tblGrid>
        <w:gridCol w:w="5100"/>
        <w:gridCol w:w="5100"/>
        <w:tblGridChange w:id="0">
          <w:tblGrid>
            <w:gridCol w:w="5100"/>
            <w:gridCol w:w="5100"/>
          </w:tblGrid>
        </w:tblGridChange>
      </w:tblGrid>
      <w:tr>
        <w:trPr>
          <w:cantSplit w:val="0"/>
          <w:trHeight w:val="235.76171874999997" w:hRule="atLeast"/>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0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Empresa mandante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0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DTemite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Product Owner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José Robles Rocha - acepta la demo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Scrum Master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Pablo Gutiérrez - facilita Review y retrospectiva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Desarrollo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Diego Madrid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QA y documentación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Reinhartd Munzenmayer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Docente guía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Fabián Alcántara Guajardo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Horas comprometidas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63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Puntos de referencia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18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Estado al 27/09/2026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En progreso</w:t>
            </w:r>
            <w:r w:rsidDel="00000000" w:rsidR="00000000" w:rsidRPr="00000000">
              <w:rPr>
                <w:rtl w:val="0"/>
              </w:rPr>
            </w:r>
          </w:p>
        </w:tc>
      </w:tr>
    </w:tbl>
    <w:p w:rsidR="00000000" w:rsidDel="00000000" w:rsidP="00000000" w:rsidRDefault="00000000" w:rsidRPr="00000000" w14:paraId="00000020">
      <w:pPr>
        <w:pStyle w:val="Heading1"/>
        <w:spacing w:after="120" w:before="280" w:lineRule="auto"/>
        <w:rPr>
          <w:rFonts w:ascii="Times New Roman" w:cs="Times New Roman" w:eastAsia="Times New Roman" w:hAnsi="Times New Roman"/>
          <w:color w:val="000000"/>
          <w:sz w:val="32"/>
          <w:szCs w:val="32"/>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1. Qué cubre este sprint</w:t>
      </w:r>
      <w:r w:rsidDel="00000000" w:rsidR="00000000" w:rsidRPr="00000000">
        <w:rPr>
          <w:rtl w:val="0"/>
        </w:rPr>
      </w:r>
    </w:p>
    <w:p w:rsidR="00000000" w:rsidDel="00000000" w:rsidP="00000000" w:rsidRDefault="00000000" w:rsidRPr="00000000" w14:paraId="00000024">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Efectivo registra la venta. TUU cobra crédito y débito solo en Kozen. Webpay todavía no sustituye ninguno de los dos.</w:t>
      </w:r>
      <w:r w:rsidDel="00000000" w:rsidR="00000000" w:rsidRPr="00000000">
        <w:rPr>
          <w:rtl w:val="0"/>
        </w:rPr>
      </w:r>
    </w:p>
    <w:p w:rsidR="00000000" w:rsidDel="00000000" w:rsidP="00000000" w:rsidRDefault="00000000" w:rsidRPr="00000000" w14:paraId="00000025">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Historias comprometidas: HU-04, HU-05 y HU-06.</w:t>
      </w:r>
      <w:r w:rsidDel="00000000" w:rsidR="00000000" w:rsidRPr="00000000">
        <w:rPr>
          <w:rtl w:val="0"/>
        </w:rPr>
      </w:r>
    </w:p>
    <w:p w:rsidR="00000000" w:rsidDel="00000000" w:rsidP="00000000" w:rsidRDefault="00000000" w:rsidRPr="00000000" w14:paraId="00000026">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El producto que se está aceptando es el POS completo. Webpay forma parte de ese producto a partir del Sprint 4. Efectivo y TUU, aceptados como línea base en el Sprint 2, tienen que seguir cobrando en cada review posterior.</w:t>
      </w:r>
      <w:r w:rsidDel="00000000" w:rsidR="00000000" w:rsidRPr="00000000">
        <w:rPr>
          <w:rtl w:val="0"/>
        </w:rPr>
      </w:r>
    </w:p>
    <w:p w:rsidR="00000000" w:rsidDel="00000000" w:rsidP="00000000" w:rsidRDefault="00000000" w:rsidRPr="00000000" w14:paraId="00000027">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2. Qué hay hoy en el código</w:t>
      </w:r>
      <w:r w:rsidDel="00000000" w:rsidR="00000000" w:rsidRPr="00000000">
        <w:rPr>
          <w:rtl w:val="0"/>
        </w:rPr>
      </w:r>
    </w:p>
    <w:p w:rsidR="00000000" w:rsidDel="00000000" w:rsidP="00000000" w:rsidRDefault="00000000" w:rsidRPr="00000000" w14:paraId="00000028">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DocumentTypeScreen, ClientsScreen, PaymentMethodScreen, el Intent de TUU y devicePaymentProfileService ya están en la app. En Kozen con TUU instalada la tarjeta sale por com.haulmer.paymentapp. El sprint acepta esa línea base y la detección de dispositivo, para que el Sprint 4 pueda sumar Webpay en el celular sin mover este cobro.</w:t>
      </w:r>
      <w:r w:rsidDel="00000000" w:rsidR="00000000" w:rsidRPr="00000000">
        <w:rPr>
          <w:rtl w:val="0"/>
        </w:rPr>
      </w:r>
    </w:p>
    <w:p w:rsidR="00000000" w:rsidDel="00000000" w:rsidP="00000000" w:rsidRDefault="00000000" w:rsidRPr="00000000" w14:paraId="00000029">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3. Cómo se da por hecho</w:t>
      </w:r>
      <w:r w:rsidDel="00000000" w:rsidR="00000000" w:rsidRPr="00000000">
        <w:rPr>
          <w:rtl w:val="0"/>
        </w:rPr>
      </w:r>
    </w:p>
    <w:p w:rsidR="00000000" w:rsidDel="00000000" w:rsidP="00000000" w:rsidRDefault="00000000" w:rsidRPr="00000000" w14:paraId="0000002A">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Además de los criterios de cada tarea, el sprint usa la Definition of Done v1.0: rama feature/HU-XX, pull request de un par, prueba en Android, demo al Product Owner y retrospectiva.</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Efectivo con vuelto, en celular y en Kozen, aunque no haya pasarela de tarjeta.</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En Kozen, crédito (medio 101) y débito (medio 104) con authCode y last4.</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Un fallo de TUU queda con detalle_error y la venta no figura cobrada.</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En Kozen la tarjeta no se desvía a Webpay.</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Pull request revisado y demo al Product Owner.</w:t>
      </w:r>
    </w:p>
    <w:p w:rsidR="00000000" w:rsidDel="00000000" w:rsidP="00000000" w:rsidRDefault="00000000" w:rsidRPr="00000000" w14:paraId="00000030">
      <w:pPr>
        <w:spacing w:after="160" w:before="12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Regresión de este sprint. La venta del Sprint 1 sigue armándose. Este sprint instala la regresión de efectivo y de TUU que Webpay tendrá que respetar.</w:t>
      </w:r>
      <w:r w:rsidDel="00000000" w:rsidR="00000000" w:rsidRPr="00000000">
        <w:rPr>
          <w:rtl w:val="0"/>
        </w:rPr>
      </w:r>
    </w:p>
    <w:p w:rsidR="00000000" w:rsidDel="00000000" w:rsidP="00000000" w:rsidRDefault="00000000" w:rsidRPr="00000000" w14:paraId="00000031">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4. Tareas comprometidas</w:t>
      </w:r>
      <w:r w:rsidDel="00000000" w:rsidR="00000000" w:rsidRPr="00000000">
        <w:rPr>
          <w:rtl w:val="0"/>
        </w:rPr>
      </w:r>
    </w:p>
    <w:p w:rsidR="00000000" w:rsidDel="00000000" w:rsidP="00000000" w:rsidRDefault="00000000" w:rsidRPr="00000000" w14:paraId="00000032">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La planilla con el mismo detalle está en DPAY3_Sprint_Backlog_S02.xlsx. Las horas son el estimado del Planning para tres personas en dos semanas.</w:t>
      </w:r>
      <w:r w:rsidDel="00000000" w:rsidR="00000000" w:rsidRPr="00000000">
        <w:rPr>
          <w:rtl w:val="0"/>
        </w:rPr>
      </w:r>
    </w:p>
    <w:tbl>
      <w:tblPr>
        <w:tblStyle w:val="Table2"/>
        <w:tblW w:w="10200.0" w:type="dxa"/>
        <w:jc w:val="center"/>
        <w:tblLayout w:type="fixed"/>
        <w:tblLook w:val="0400"/>
      </w:tblPr>
      <w:tblGrid>
        <w:gridCol w:w="1700"/>
        <w:gridCol w:w="1700"/>
        <w:gridCol w:w="1700"/>
        <w:gridCol w:w="1700"/>
        <w:gridCol w:w="1700"/>
        <w:gridCol w:w="1700"/>
        <w:tblGridChange w:id="0">
          <w:tblGrid>
            <w:gridCol w:w="1700"/>
            <w:gridCol w:w="1700"/>
            <w:gridCol w:w="1700"/>
            <w:gridCol w:w="1700"/>
            <w:gridCol w:w="1700"/>
            <w:gridCol w:w="17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HU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Tarea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Horas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Responsable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Criterio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T4.1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Selector de tipos 39, 33, 34, 41 y comprobante 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CA-04.1.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3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T4.2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Cliente desde ClientsScreen o consumidor final 66666666-6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CA-04.2.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T4.3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Propina configurable antes de cobrar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CA-04.3.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T4.4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Permitir habilitar o deshabilitar cada tipo en configuración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CA-04.4.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1">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T5.1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Cobro en efectivo con monto recibido y vuelto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CA-05.1 y CA-05.4: efectivo sigue aunque no haya tarjeta.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T5.2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Armar la transacción de efectivo para POST /pos/transaccion (medio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CA-05.2.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T5.3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Si el documento no es tipo 0, dejar el flujo listo para emitir DTE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CA-05.3. La emisión misma es del Sprint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T5.4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Probar efectivo en celular y en Kozen, con la pasarela de tarjeta apagada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Reinhartd Munzenmayer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CA-05.1 a CA-05.4.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T6.1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Detectar perfil TUU_KOZEN o GENERIC_MOBILE y guardarlo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Base del enrutamiento: TUU solo en Kozen.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T6.2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Abrir el Intent de TUU hacia com.haulmer.paymentapp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CA-06.1.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T6.3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Mapear crédito a medio 101 y débito a 104, con authCode, last4 y comisión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CA-06.2 y CA-06.3.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T6.4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Registrar rechazos y errores de TUU con detalle_error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CA-06.4. La venta no queda cobrada.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1">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T6.5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En Kozen, impedir que la tarjeta salga por Webpay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CA-06.5.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T6.6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Probar TUU aprobado y rechazado en Kozen, y efectivo en celular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Reinhartd Munzenmayer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Regresión de efectivo y TUU. Apartado 6 del Definition of Done.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T6.7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Sprint Review con demo de documento, efectivo y TUU, y retrospectiva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9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9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9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DoD de sprint.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93">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94">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9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Horas totales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9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63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97">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98">
            <w:pPr>
              <w:spacing w:after="0" w:before="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99">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5. Informe de situación</w:t>
      </w:r>
      <w:r w:rsidDel="00000000" w:rsidR="00000000" w:rsidRPr="00000000">
        <w:rPr>
          <w:rtl w:val="0"/>
        </w:rPr>
      </w:r>
    </w:p>
    <w:p w:rsidR="00000000" w:rsidDel="00000000" w:rsidP="00000000" w:rsidRDefault="00000000" w:rsidRPr="00000000" w14:paraId="0000009A">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Al 27 de septiembre de 2026 este sprint está en progreso. Esa marca no significa que la pantalla no exista: gran parte del POS ya está construida en codigo/. Significa que la historia todavía no tiene las tres aceptaciones del Definition of Done.</w:t>
      </w:r>
      <w:r w:rsidDel="00000000" w:rsidR="00000000" w:rsidRPr="00000000">
        <w:rPr>
          <w:rtl w:val="0"/>
        </w:rPr>
      </w:r>
    </w:p>
    <w:p w:rsidR="00000000" w:rsidDel="00000000" w:rsidP="00000000" w:rsidRDefault="00000000" w:rsidRPr="00000000" w14:paraId="0000009B">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El calendario de este sprint ya está en curso o acaba de terminar. El Review correspondiente es el que puede pasarlo a Hecho. Hasta esa demo, las tareas siguen en progreso.</w:t>
      </w:r>
      <w:r w:rsidDel="00000000" w:rsidR="00000000" w:rsidRPr="00000000">
        <w:rPr>
          <w:rtl w:val="0"/>
        </w:rPr>
      </w:r>
    </w:p>
    <w:p w:rsidR="00000000" w:rsidDel="00000000" w:rsidP="00000000" w:rsidRDefault="00000000" w:rsidRPr="00000000" w14:paraId="0000009C">
      <w:pPr>
        <w:spacing w:after="160" w:before="8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Demo prevista. Boleta o factura elegida, cliente o consumidor final 66666666-6, cobro en efectivo con vuelto y, si hay Kozen, un cobro TUU aprobado y uno rechazado.</w:t>
      </w:r>
      <w:r w:rsidDel="00000000" w:rsidR="00000000" w:rsidRPr="00000000">
        <w:rPr>
          <w:rtl w:val="0"/>
        </w:rPr>
      </w:r>
    </w:p>
    <w:p w:rsidR="00000000" w:rsidDel="00000000" w:rsidP="00000000" w:rsidRDefault="00000000" w:rsidRPr="00000000" w14:paraId="0000009D">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Queda fuera de este sprint. Emisión DTE completa y checkout Webpay. El tipo de documento queda elegido para que el Sprint 3 emita.</w:t>
      </w:r>
      <w:r w:rsidDel="00000000" w:rsidR="00000000" w:rsidRPr="00000000">
        <w:rPr>
          <w:rtl w:val="0"/>
        </w:rPr>
      </w:r>
    </w:p>
    <w:p w:rsidR="00000000" w:rsidDel="00000000" w:rsidP="00000000" w:rsidRDefault="00000000" w:rsidRPr="00000000" w14:paraId="0000009E">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6. Riesgos</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Sin terminal Kozen no se puede cerrar HU-06. La demo de efectivo y documento igual se hace.</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Un rechazo del banco debe quedar registrado, no convertido en venta exitosa.</w:t>
      </w:r>
    </w:p>
    <w:p w:rsidR="00000000" w:rsidDel="00000000" w:rsidP="00000000" w:rsidRDefault="00000000" w:rsidRPr="00000000" w14:paraId="000000A1">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7. Quién acepta</w:t>
      </w:r>
      <w:r w:rsidDel="00000000" w:rsidR="00000000" w:rsidRPr="00000000">
        <w:rPr>
          <w:rtl w:val="0"/>
        </w:rPr>
      </w:r>
    </w:p>
    <w:p w:rsidR="00000000" w:rsidDel="00000000" w:rsidP="00000000" w:rsidRDefault="00000000" w:rsidRPr="00000000" w14:paraId="000000A2">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José Robles Rocha acepta el incremento en el Sprint Review. Un integrante distinto del autor aprueba el pull request. Reinhartd Munzenmayer verifica los criterios en el dispositivo, incluida la regresión cuando el sprint toca cobro o DTE. Falta una de las tres y el sprint no se cierra.</w:t>
      </w:r>
      <w:r w:rsidDel="00000000" w:rsidR="00000000" w:rsidRPr="00000000">
        <w:rPr>
          <w:rtl w:val="0"/>
        </w:rPr>
      </w:r>
    </w:p>
    <w:p w:rsidR="00000000" w:rsidDel="00000000" w:rsidP="00000000" w:rsidRDefault="00000000" w:rsidRPr="00000000" w14:paraId="000000A3">
      <w:pPr>
        <w:spacing w:after="160" w:before="16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Referencia de aceptación: documentacion/04_Definition_of_Done/DPAY3_Definition_of_Done_v1.0.docx. Historias: codigo/docs/03-historias-usuario.md.</w:t>
      </w:r>
      <w:r w:rsidDel="00000000" w:rsidR="00000000" w:rsidRPr="00000000">
        <w:rPr>
          <w:rtl w:val="0"/>
        </w:rPr>
      </w:r>
    </w:p>
    <w:sectPr>
      <w:headerReference r:id="rId7" w:type="default"/>
      <w:footerReference r:id="rId8" w:type="default"/>
      <w:pgSz w:h="15840" w:w="12240" w:orient="portrait"/>
      <w:pgMar w:bottom="1020" w:top="1020"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18"/>
        <w:szCs w:val="18"/>
        <w:u w:val="none"/>
        <w:shd w:fill="auto" w:val="clear"/>
        <w:vertAlign w:val="baseline"/>
        <w:rtl w:val="0"/>
      </w:rPr>
      <w:t xml:space="preserve">Informe de sprint  ·  D-PAY 3.0  ·  v1.0  ·  27 de septiembre de 2026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4">
    <w:pPr>
      <w:spacing w:after="0" w:line="240" w:lineRule="auto"/>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sz w:val="20"/>
        <w:szCs w:val="20"/>
      </w:rPr>
      <w:drawing>
        <wp:inline distB="114300" distT="114300" distL="114300" distR="114300">
          <wp:extent cx="2981325" cy="692467"/>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981325" cy="692467"/>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Pr>
      <w:drawing>
        <wp:inline distB="114300" distT="114300" distL="114300" distR="114300">
          <wp:extent cx="2762250" cy="701992"/>
          <wp:effectExtent b="0" l="0" r="0" t="0"/>
          <wp:docPr id="2"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2762250" cy="70199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RnLlup+5W8f69/5/MmjHSkVqXQ==">CgMxLjA4AHIhMS1rc1h2ek8zb085OG1hek9QZHNnWE9CZXFZc2p6N2VO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