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E64" w:rsidRDefault="003A2F8D" w:rsidP="00E60E64">
      <w:pPr>
        <w:rPr>
          <w:b/>
          <w:bCs/>
        </w:rPr>
      </w:pPr>
      <w:r>
        <w:rPr>
          <w:b/>
          <w:bCs/>
        </w:rPr>
        <w:t>&lt;</w:t>
      </w:r>
      <w:r w:rsidR="00E60E64" w:rsidRPr="00E60E64">
        <w:rPr>
          <w:b/>
          <w:bCs/>
        </w:rPr>
        <w:t>Mechanism, signs, and prevention</w:t>
      </w:r>
      <w:r>
        <w:rPr>
          <w:b/>
          <w:bCs/>
        </w:rPr>
        <w:t>&gt;</w:t>
      </w:r>
    </w:p>
    <w:p w:rsidR="00E60E64" w:rsidRDefault="00E60E64" w:rsidP="00E60E64">
      <w:r>
        <w:rPr>
          <w:b/>
          <w:bCs/>
        </w:rPr>
        <w:t xml:space="preserve"> </w:t>
      </w:r>
    </w:p>
    <w:p w:rsidR="00E60E64" w:rsidRPr="00E60E64" w:rsidRDefault="00E60E64" w:rsidP="00E60E64">
      <w:pPr>
        <w:pStyle w:val="a4"/>
        <w:numPr>
          <w:ilvl w:val="0"/>
          <w:numId w:val="1"/>
        </w:numPr>
        <w:ind w:leftChars="0"/>
        <w:rPr>
          <w:rFonts w:hint="eastAsia"/>
        </w:rPr>
      </w:pPr>
      <w:r w:rsidRPr="00E60E64">
        <w:t>The symptoms and signs of BZD withdrawal can include tremors, anxiety, perceptual disturbances</w:t>
      </w:r>
      <w:r>
        <w:rPr>
          <w:rFonts w:hint="eastAsia"/>
        </w:rPr>
        <w:t>：動揺</w:t>
      </w:r>
      <w:r w:rsidRPr="00E60E64">
        <w:t xml:space="preserve">, </w:t>
      </w:r>
      <w:proofErr w:type="spellStart"/>
      <w:r w:rsidRPr="00E60E64">
        <w:t>dysphoria</w:t>
      </w:r>
      <w:proofErr w:type="spellEnd"/>
      <w:r>
        <w:rPr>
          <w:rFonts w:hint="eastAsia"/>
        </w:rPr>
        <w:t>：気分変調</w:t>
      </w:r>
      <w:r w:rsidRPr="00E60E64">
        <w:t>, psychosis, and seizures.</w:t>
      </w:r>
    </w:p>
    <w:p w:rsidR="00E60E64" w:rsidRDefault="00E60E64" w:rsidP="00E60E64">
      <w:pPr>
        <w:pStyle w:val="a4"/>
        <w:numPr>
          <w:ilvl w:val="0"/>
          <w:numId w:val="1"/>
        </w:numPr>
        <w:ind w:leftChars="0"/>
        <w:rPr>
          <w:rFonts w:hint="eastAsia"/>
        </w:rPr>
      </w:pPr>
      <w:r w:rsidRPr="00E60E64">
        <w:t xml:space="preserve">The onset of withdrawal varies </w:t>
      </w:r>
      <w:r w:rsidRPr="00E60E64">
        <w:rPr>
          <w:highlight w:val="yellow"/>
        </w:rPr>
        <w:t>according to the half-life of the BZD involved.</w:t>
      </w:r>
      <w:r w:rsidRPr="00E60E64">
        <w:t xml:space="preserve"> Symptoms may be delayed up to </w:t>
      </w:r>
      <w:r w:rsidRPr="00E60E64">
        <w:rPr>
          <w:highlight w:val="yellow"/>
        </w:rPr>
        <w:t>three weeks in BZDs with long half-lives</w:t>
      </w:r>
      <w:r w:rsidRPr="00E60E64">
        <w:t xml:space="preserve">, but may appear </w:t>
      </w:r>
      <w:r w:rsidRPr="00E60E64">
        <w:rPr>
          <w:highlight w:val="yellow"/>
        </w:rPr>
        <w:t>as early as 24 to 48 hours after cessation</w:t>
      </w:r>
      <w:r w:rsidRPr="00E60E64">
        <w:rPr>
          <w:rFonts w:hint="eastAsia"/>
          <w:highlight w:val="yellow"/>
        </w:rPr>
        <w:t>：休止</w:t>
      </w:r>
      <w:r w:rsidRPr="00E60E64">
        <w:rPr>
          <w:highlight w:val="yellow"/>
        </w:rPr>
        <w:t xml:space="preserve"> of BZDs with short half-lives</w:t>
      </w:r>
      <w:r w:rsidRPr="00E60E64">
        <w:t xml:space="preserve">. </w:t>
      </w:r>
    </w:p>
    <w:p w:rsidR="00E60E64" w:rsidRPr="00E60E64" w:rsidRDefault="00E60E64" w:rsidP="00E60E64">
      <w:pPr>
        <w:pStyle w:val="a4"/>
        <w:numPr>
          <w:ilvl w:val="0"/>
          <w:numId w:val="1"/>
        </w:numPr>
        <w:ind w:leftChars="0"/>
      </w:pPr>
      <w:r w:rsidRPr="00E60E64">
        <w:t>The severity and duration of withdrawal is determined by many factors, including the period of BZD use, how rapidly use was tapered (if at all), and possibly patient genetics.</w:t>
      </w:r>
    </w:p>
    <w:p w:rsidR="00E60E64" w:rsidRDefault="00E60E64" w:rsidP="00E60E64">
      <w:pPr>
        <w:pStyle w:val="a4"/>
        <w:numPr>
          <w:ilvl w:val="0"/>
          <w:numId w:val="1"/>
        </w:numPr>
        <w:ind w:leftChars="0"/>
        <w:rPr>
          <w:rFonts w:hint="eastAsia"/>
        </w:rPr>
      </w:pPr>
      <w:r w:rsidRPr="00E60E64">
        <w:t xml:space="preserve">Chronic ingestion of BZDs leads to conformational changes in the </w:t>
      </w:r>
      <w:r w:rsidRPr="00E60E64">
        <w:rPr>
          <w:highlight w:val="yellow"/>
        </w:rPr>
        <w:t>GABA receptor,</w:t>
      </w:r>
      <w:r w:rsidRPr="00E60E64">
        <w:t xml:space="preserve"> which ultimately reduce the receptor's affinity for GABA and result in drug tolerance. </w:t>
      </w:r>
    </w:p>
    <w:p w:rsidR="00E60E64" w:rsidRDefault="00E60E64" w:rsidP="00E60E64">
      <w:pPr>
        <w:pStyle w:val="a4"/>
        <w:numPr>
          <w:ilvl w:val="0"/>
          <w:numId w:val="1"/>
        </w:numPr>
        <w:ind w:leftChars="0"/>
        <w:rPr>
          <w:rFonts w:hint="eastAsia"/>
        </w:rPr>
      </w:pPr>
      <w:r w:rsidRPr="00E60E64">
        <w:t xml:space="preserve">Withdrawal can usually be avoided or minimized through the use of BZDs </w:t>
      </w:r>
      <w:r w:rsidRPr="00E60E64">
        <w:rPr>
          <w:highlight w:val="yellow"/>
        </w:rPr>
        <w:t>with a long half-life</w:t>
      </w:r>
      <w:r w:rsidRPr="00E60E64">
        <w:t>, such as</w:t>
      </w:r>
      <w:r w:rsidRPr="00E60E64">
        <w:t> </w:t>
      </w:r>
      <w:hyperlink r:id="rId6" w:history="1">
        <w:r w:rsidRPr="00E60E64">
          <w:rPr>
            <w:rStyle w:val="a3"/>
          </w:rPr>
          <w:t>diazepam</w:t>
        </w:r>
      </w:hyperlink>
      <w:r w:rsidRPr="00E60E64">
        <w:t> </w:t>
      </w:r>
      <w:r w:rsidRPr="00E60E64">
        <w:t>or</w:t>
      </w:r>
      <w:r w:rsidRPr="00E60E64">
        <w:t> </w:t>
      </w:r>
      <w:hyperlink r:id="rId7" w:history="1">
        <w:r w:rsidRPr="00E60E64">
          <w:rPr>
            <w:rStyle w:val="a3"/>
          </w:rPr>
          <w:t>chlordiazepoxide</w:t>
        </w:r>
      </w:hyperlink>
      <w:r w:rsidRPr="00E60E64">
        <w:t xml:space="preserve">, and a gradual tapering of the patient's BZD dose </w:t>
      </w:r>
      <w:r w:rsidRPr="00E60E64">
        <w:rPr>
          <w:highlight w:val="yellow"/>
        </w:rPr>
        <w:t>over several months,</w:t>
      </w:r>
      <w:r w:rsidRPr="00E60E64">
        <w:t xml:space="preserve"> depending upon the dosage and degree of dependency. </w:t>
      </w:r>
    </w:p>
    <w:p w:rsidR="00E60E64" w:rsidRDefault="00E60E64" w:rsidP="00E60E64">
      <w:pPr>
        <w:ind w:left="360"/>
        <w:rPr>
          <w:rFonts w:hint="eastAsia"/>
          <w:b/>
          <w:bCs/>
        </w:rPr>
      </w:pPr>
    </w:p>
    <w:p w:rsidR="00E60E64" w:rsidRDefault="00E60E64" w:rsidP="00E60E64">
      <w:pPr>
        <w:rPr>
          <w:rFonts w:hint="eastAsia"/>
          <w:b/>
          <w:bCs/>
        </w:rPr>
      </w:pPr>
      <w:r>
        <w:rPr>
          <w:rFonts w:hint="eastAsia"/>
          <w:b/>
          <w:bCs/>
        </w:rPr>
        <w:t xml:space="preserve">　</w:t>
      </w:r>
    </w:p>
    <w:p w:rsidR="00E60E64" w:rsidRDefault="003A2F8D" w:rsidP="00E60E64">
      <w:pPr>
        <w:rPr>
          <w:rFonts w:hint="eastAsia"/>
          <w:b/>
          <w:bCs/>
        </w:rPr>
      </w:pPr>
      <w:r>
        <w:rPr>
          <w:b/>
          <w:bCs/>
        </w:rPr>
        <w:t>&lt;</w:t>
      </w:r>
      <w:r w:rsidR="00E60E64" w:rsidRPr="00E60E64">
        <w:rPr>
          <w:b/>
          <w:bCs/>
        </w:rPr>
        <w:t>Treatment</w:t>
      </w:r>
      <w:r>
        <w:rPr>
          <w:b/>
          <w:bCs/>
        </w:rPr>
        <w:t>&gt;</w:t>
      </w:r>
    </w:p>
    <w:p w:rsidR="003F5F43" w:rsidRDefault="003F5F43" w:rsidP="00E60E64">
      <w:pPr>
        <w:rPr>
          <w:rFonts w:hint="eastAsia"/>
        </w:rPr>
      </w:pPr>
      <w:r>
        <w:rPr>
          <w:rFonts w:hint="eastAsia"/>
          <w:b/>
          <w:bCs/>
        </w:rPr>
        <w:t xml:space="preserve">　</w:t>
      </w:r>
    </w:p>
    <w:p w:rsidR="00E60E64" w:rsidRDefault="00E60E64" w:rsidP="00E60E64">
      <w:pPr>
        <w:pStyle w:val="a4"/>
        <w:numPr>
          <w:ilvl w:val="0"/>
          <w:numId w:val="1"/>
        </w:numPr>
        <w:ind w:leftChars="0"/>
        <w:rPr>
          <w:rFonts w:hint="eastAsia"/>
        </w:rPr>
      </w:pPr>
      <w:r w:rsidRPr="00E60E64">
        <w:rPr>
          <w:highlight w:val="yellow"/>
        </w:rPr>
        <w:t>BZD withdrawal is treated with a BZD</w:t>
      </w:r>
      <w:r w:rsidRPr="00E60E64">
        <w:t xml:space="preserve"> </w:t>
      </w:r>
      <w:r w:rsidRPr="00E60E64">
        <w:rPr>
          <w:highlight w:val="yellow"/>
        </w:rPr>
        <w:t>that has a prolonged clinical effect,</w:t>
      </w:r>
      <w:r w:rsidRPr="00E60E64">
        <w:t xml:space="preserve"> such as</w:t>
      </w:r>
      <w:r w:rsidRPr="00E60E64">
        <w:t> </w:t>
      </w:r>
      <w:hyperlink r:id="rId8" w:history="1">
        <w:r w:rsidRPr="00E60E64">
          <w:rPr>
            <w:rStyle w:val="a3"/>
            <w:highlight w:val="yellow"/>
          </w:rPr>
          <w:t>diazepam</w:t>
        </w:r>
      </w:hyperlink>
      <w:r w:rsidRPr="00E60E64">
        <w:rPr>
          <w:highlight w:val="yellow"/>
        </w:rPr>
        <w:t>,</w:t>
      </w:r>
      <w:r w:rsidRPr="00E60E64">
        <w:t xml:space="preserve"> given intravenously and titrated to effect. </w:t>
      </w:r>
    </w:p>
    <w:p w:rsidR="00E60E64" w:rsidRDefault="00E60E64" w:rsidP="00E60E64">
      <w:pPr>
        <w:pStyle w:val="a4"/>
        <w:numPr>
          <w:ilvl w:val="0"/>
          <w:numId w:val="1"/>
        </w:numPr>
        <w:ind w:leftChars="0"/>
      </w:pPr>
      <w:r w:rsidRPr="00E60E64">
        <w:t xml:space="preserve">Once symptoms are controlled, the BZD dose should then be tapered gradually </w:t>
      </w:r>
      <w:r w:rsidRPr="00E60E64">
        <w:rPr>
          <w:highlight w:val="yellow"/>
        </w:rPr>
        <w:t>over a period of months</w:t>
      </w:r>
      <w:r>
        <w:t>.</w:t>
      </w:r>
      <w:r w:rsidRPr="00E60E64">
        <w:t xml:space="preserve"> </w:t>
      </w:r>
    </w:p>
    <w:p w:rsidR="00E60E64" w:rsidRDefault="00E60E64" w:rsidP="00E60E64">
      <w:pPr>
        <w:pStyle w:val="a4"/>
        <w:numPr>
          <w:ilvl w:val="0"/>
          <w:numId w:val="1"/>
        </w:numPr>
        <w:ind w:leftChars="0"/>
        <w:rPr>
          <w:rFonts w:hint="eastAsia"/>
        </w:rPr>
      </w:pPr>
      <w:r w:rsidRPr="00E60E64">
        <w:t xml:space="preserve">For patients in mild BZD withdrawal, </w:t>
      </w:r>
      <w:r w:rsidRPr="00E60E64">
        <w:rPr>
          <w:highlight w:val="yellow"/>
        </w:rPr>
        <w:t>a long-acting oral BZD</w:t>
      </w:r>
      <w:r w:rsidRPr="00E60E64">
        <w:t xml:space="preserve"> may be given.</w:t>
      </w:r>
    </w:p>
    <w:p w:rsidR="00E60E64" w:rsidRDefault="00E60E64" w:rsidP="00E60E64">
      <w:pPr>
        <w:pStyle w:val="a4"/>
        <w:numPr>
          <w:ilvl w:val="0"/>
          <w:numId w:val="1"/>
        </w:numPr>
        <w:ind w:leftChars="0"/>
        <w:rPr>
          <w:rFonts w:hint="eastAsia"/>
        </w:rPr>
      </w:pPr>
      <w:r w:rsidRPr="00E60E64">
        <w:t xml:space="preserve">A number of medications have been used to treat BZD withdrawal, but none has been found to be as effective as BZDs. Beta blockers, antipsychotics, selective serotonin reuptake inhibitors, and antihistamines have all been shown to be inferior to standard </w:t>
      </w:r>
      <w:proofErr w:type="spellStart"/>
      <w:r w:rsidRPr="00E60E64">
        <w:t>treatmen</w:t>
      </w:r>
      <w:proofErr w:type="spellEnd"/>
      <w:r w:rsidRPr="00E60E64">
        <w:t>.</w:t>
      </w:r>
    </w:p>
    <w:p w:rsidR="003A2F8D" w:rsidRDefault="00E60E64" w:rsidP="003F5F43">
      <w:pPr>
        <w:pStyle w:val="a4"/>
        <w:numPr>
          <w:ilvl w:val="0"/>
          <w:numId w:val="1"/>
        </w:numPr>
        <w:ind w:leftChars="0"/>
      </w:pPr>
      <w:r w:rsidRPr="00E60E64">
        <w:t>Pending further study, treatments other than BZDs cannot be recommended for the management of BZD withdrawal</w:t>
      </w:r>
    </w:p>
    <w:p w:rsidR="003A2F8D" w:rsidRDefault="003A2F8D" w:rsidP="003A2F8D">
      <w:r>
        <w:t xml:space="preserve"> </w:t>
      </w:r>
    </w:p>
    <w:p w:rsidR="00E60E64" w:rsidRDefault="003A2F8D" w:rsidP="003A2F8D">
      <w:r>
        <w:t xml:space="preserve"> </w:t>
      </w:r>
    </w:p>
    <w:p w:rsidR="003A2F8D" w:rsidRDefault="003A2F8D" w:rsidP="003A2F8D">
      <w:r>
        <w:t>&lt;References&gt;</w:t>
      </w:r>
    </w:p>
    <w:p w:rsidR="003A2F8D" w:rsidRDefault="003A2F8D" w:rsidP="003A2F8D">
      <w:r>
        <w:rPr>
          <w:rFonts w:hint="eastAsia"/>
        </w:rPr>
        <w:t>・</w:t>
      </w:r>
      <w:proofErr w:type="spellStart"/>
      <w:r>
        <w:t>uptodate</w:t>
      </w:r>
      <w:proofErr w:type="spellEnd"/>
      <w:r>
        <w:rPr>
          <w:rFonts w:hint="eastAsia"/>
        </w:rPr>
        <w:t>：</w:t>
      </w:r>
      <w:r w:rsidRPr="003A2F8D">
        <w:rPr>
          <w:b/>
          <w:bCs/>
        </w:rPr>
        <w:t>Benzodiazepine poisoning and withdrawal</w:t>
      </w:r>
      <w:bookmarkStart w:id="0" w:name="_GoBack"/>
      <w:bookmarkEnd w:id="0"/>
    </w:p>
    <w:sectPr w:rsidR="003A2F8D" w:rsidSect="007D2CD9">
      <w:pgSz w:w="11900" w:h="16840"/>
      <w:pgMar w:top="851" w:right="567" w:bottom="567" w:left="567"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1" w:usb1="08070000" w:usb2="00000010" w:usb3="00000000" w:csb0="00020093"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B521B"/>
    <w:multiLevelType w:val="multilevel"/>
    <w:tmpl w:val="5C7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2F5216"/>
    <w:multiLevelType w:val="hybridMultilevel"/>
    <w:tmpl w:val="FA6A3B00"/>
    <w:lvl w:ilvl="0" w:tplc="A9B86C80">
      <w:numFmt w:val="bullet"/>
      <w:lvlText w:val="・"/>
      <w:lvlJc w:val="left"/>
      <w:pPr>
        <w:ind w:left="360" w:hanging="360"/>
      </w:pPr>
      <w:rPr>
        <w:rFonts w:ascii="Osaka" w:eastAsia="Osaka" w:hAnsi="Osaka"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1360786"/>
    <w:multiLevelType w:val="multilevel"/>
    <w:tmpl w:val="876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960"/>
  <w:drawingGridHorizontalSpacing w:val="120"/>
  <w:drawingGridVerticalSpacing w:val="200"/>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E64"/>
    <w:rsid w:val="003A2F8D"/>
    <w:rsid w:val="003F5F43"/>
    <w:rsid w:val="007D2CD9"/>
    <w:rsid w:val="008813CE"/>
    <w:rsid w:val="00992CFC"/>
    <w:rsid w:val="00A63003"/>
    <w:rsid w:val="00E572EA"/>
    <w:rsid w:val="00E60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6DD15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0E64"/>
    <w:rPr>
      <w:color w:val="0000FF" w:themeColor="hyperlink"/>
      <w:u w:val="single"/>
    </w:rPr>
  </w:style>
  <w:style w:type="paragraph" w:styleId="a4">
    <w:name w:val="List Paragraph"/>
    <w:basedOn w:val="a"/>
    <w:uiPriority w:val="34"/>
    <w:qFormat/>
    <w:rsid w:val="00E60E64"/>
    <w:pPr>
      <w:ind w:leftChars="400" w:left="960"/>
    </w:pPr>
  </w:style>
  <w:style w:type="character" w:styleId="a5">
    <w:name w:val="FollowedHyperlink"/>
    <w:basedOn w:val="a0"/>
    <w:uiPriority w:val="99"/>
    <w:semiHidden/>
    <w:unhideWhenUsed/>
    <w:rsid w:val="00E60E6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0E64"/>
    <w:rPr>
      <w:color w:val="0000FF" w:themeColor="hyperlink"/>
      <w:u w:val="single"/>
    </w:rPr>
  </w:style>
  <w:style w:type="paragraph" w:styleId="a4">
    <w:name w:val="List Paragraph"/>
    <w:basedOn w:val="a"/>
    <w:uiPriority w:val="34"/>
    <w:qFormat/>
    <w:rsid w:val="00E60E64"/>
    <w:pPr>
      <w:ind w:leftChars="400" w:left="960"/>
    </w:pPr>
  </w:style>
  <w:style w:type="character" w:styleId="a5">
    <w:name w:val="FollowedHyperlink"/>
    <w:basedOn w:val="a0"/>
    <w:uiPriority w:val="99"/>
    <w:semiHidden/>
    <w:unhideWhenUsed/>
    <w:rsid w:val="00E60E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74914">
      <w:bodyDiv w:val="1"/>
      <w:marLeft w:val="0"/>
      <w:marRight w:val="0"/>
      <w:marTop w:val="0"/>
      <w:marBottom w:val="0"/>
      <w:divBdr>
        <w:top w:val="none" w:sz="0" w:space="0" w:color="auto"/>
        <w:left w:val="none" w:sz="0" w:space="0" w:color="auto"/>
        <w:bottom w:val="none" w:sz="0" w:space="0" w:color="auto"/>
        <w:right w:val="none" w:sz="0" w:space="0" w:color="auto"/>
      </w:divBdr>
    </w:div>
    <w:div w:id="863133277">
      <w:bodyDiv w:val="1"/>
      <w:marLeft w:val="0"/>
      <w:marRight w:val="0"/>
      <w:marTop w:val="0"/>
      <w:marBottom w:val="0"/>
      <w:divBdr>
        <w:top w:val="none" w:sz="0" w:space="0" w:color="auto"/>
        <w:left w:val="none" w:sz="0" w:space="0" w:color="auto"/>
        <w:bottom w:val="none" w:sz="0" w:space="0" w:color="auto"/>
        <w:right w:val="none" w:sz="0" w:space="0" w:color="auto"/>
      </w:divBdr>
    </w:div>
    <w:div w:id="1351370664">
      <w:bodyDiv w:val="1"/>
      <w:marLeft w:val="0"/>
      <w:marRight w:val="0"/>
      <w:marTop w:val="0"/>
      <w:marBottom w:val="0"/>
      <w:divBdr>
        <w:top w:val="none" w:sz="0" w:space="0" w:color="auto"/>
        <w:left w:val="none" w:sz="0" w:space="0" w:color="auto"/>
        <w:bottom w:val="none" w:sz="0" w:space="0" w:color="auto"/>
        <w:right w:val="none" w:sz="0" w:space="0" w:color="auto"/>
      </w:divBdr>
    </w:div>
    <w:div w:id="1376153142">
      <w:bodyDiv w:val="1"/>
      <w:marLeft w:val="0"/>
      <w:marRight w:val="0"/>
      <w:marTop w:val="0"/>
      <w:marBottom w:val="0"/>
      <w:divBdr>
        <w:top w:val="none" w:sz="0" w:space="0" w:color="auto"/>
        <w:left w:val="none" w:sz="0" w:space="0" w:color="auto"/>
        <w:bottom w:val="none" w:sz="0" w:space="0" w:color="auto"/>
        <w:right w:val="none" w:sz="0" w:space="0" w:color="auto"/>
      </w:divBdr>
    </w:div>
    <w:div w:id="1405565133">
      <w:bodyDiv w:val="1"/>
      <w:marLeft w:val="0"/>
      <w:marRight w:val="0"/>
      <w:marTop w:val="0"/>
      <w:marBottom w:val="0"/>
      <w:divBdr>
        <w:top w:val="none" w:sz="0" w:space="0" w:color="auto"/>
        <w:left w:val="none" w:sz="0" w:space="0" w:color="auto"/>
        <w:bottom w:val="none" w:sz="0" w:space="0" w:color="auto"/>
        <w:right w:val="none" w:sz="0" w:space="0" w:color="auto"/>
      </w:divBdr>
    </w:div>
    <w:div w:id="1856840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ptodate.com/contents/diazepam-drug-information?source=see_link" TargetMode="External"/><Relationship Id="rId7" Type="http://schemas.openxmlformats.org/officeDocument/2006/relationships/hyperlink" Target="http://www.uptodate.com/contents/chlordiazepoxide-drug-information?source=see_link" TargetMode="External"/><Relationship Id="rId8" Type="http://schemas.openxmlformats.org/officeDocument/2006/relationships/hyperlink" Target="http://www.uptodate.com/contents/diazepam-drug-information?source=see_lin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309</Words>
  <Characters>1766</Characters>
  <Application>Microsoft Macintosh Word</Application>
  <DocSecurity>0</DocSecurity>
  <Lines>14</Lines>
  <Paragraphs>4</Paragraphs>
  <ScaleCrop>false</ScaleCrop>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ryohei</dc:creator>
  <cp:keywords/>
  <dc:description/>
  <cp:lastModifiedBy>ryohei</cp:lastModifiedBy>
  <cp:revision>1</cp:revision>
  <dcterms:created xsi:type="dcterms:W3CDTF">2011-08-18T12:34:00Z</dcterms:created>
  <dcterms:modified xsi:type="dcterms:W3CDTF">2011-08-18T13:32:00Z</dcterms:modified>
</cp:coreProperties>
</file>