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C2F" w:rsidRDefault="00E34C2F" w:rsidP="00E34C2F">
      <w:pPr>
        <w:spacing w:after="240"/>
        <w:rPr>
          <w:b/>
        </w:rPr>
      </w:pPr>
      <w:r>
        <w:rPr>
          <w:b/>
        </w:rPr>
        <w:t>Wireless and Mobile Communication: Cr 3 (3-0-0)</w:t>
      </w:r>
    </w:p>
    <w:p w:rsidR="00E34C2F" w:rsidRPr="002069C6" w:rsidRDefault="00E34C2F" w:rsidP="00E34C2F">
      <w:pPr>
        <w:ind w:left="536"/>
        <w:rPr>
          <w:lang w:val="en-IN" w:eastAsia="en-IN"/>
        </w:rPr>
      </w:pPr>
      <w:r w:rsidRPr="002069C6">
        <w:rPr>
          <w:rFonts w:ascii="Cambria" w:hAnsi="Cambria"/>
          <w:b/>
          <w:bCs/>
          <w:color w:val="000000"/>
          <w:lang w:val="en-IN" w:eastAsia="en-IN"/>
        </w:rPr>
        <w:t>Unit I: (12L)</w:t>
      </w:r>
    </w:p>
    <w:p w:rsidR="00E34C2F" w:rsidRPr="002069C6" w:rsidRDefault="00E34C2F" w:rsidP="00DE396C">
      <w:pPr>
        <w:ind w:left="536"/>
        <w:jc w:val="both"/>
        <w:rPr>
          <w:lang w:val="en-IN" w:eastAsia="en-IN"/>
        </w:rPr>
      </w:pPr>
      <w:r w:rsidRPr="002069C6">
        <w:rPr>
          <w:rFonts w:ascii="Cambria" w:hAnsi="Cambria"/>
          <w:color w:val="000000"/>
          <w:lang w:val="en-IN" w:eastAsia="en-IN"/>
        </w:rPr>
        <w:t>Cellular Communication Fundamentals: Cellular system design, Frequency reuse, cell splitting,</w:t>
      </w:r>
      <w:r w:rsidR="00F6164D">
        <w:rPr>
          <w:rFonts w:ascii="Cambria" w:hAnsi="Cambria"/>
          <w:color w:val="000000"/>
          <w:lang w:val="en-IN" w:eastAsia="en-IN"/>
        </w:rPr>
        <w:t xml:space="preserve"> </w:t>
      </w:r>
      <w:r w:rsidRPr="002069C6">
        <w:rPr>
          <w:rFonts w:ascii="Cambria" w:hAnsi="Cambria"/>
          <w:color w:val="000000"/>
          <w:lang w:val="en-IN" w:eastAsia="en-IN"/>
        </w:rPr>
        <w:t>handover concepts, Co channel and adjacent channel interference, interference reduction techniques and methods to improve cell coverage, Frequency management and channel assignment. GSM</w:t>
      </w:r>
      <w:r>
        <w:rPr>
          <w:rFonts w:ascii="Cambria" w:hAnsi="Cambria"/>
          <w:color w:val="000000"/>
          <w:lang w:val="en-IN" w:eastAsia="en-IN"/>
        </w:rPr>
        <w:t xml:space="preserve"> </w:t>
      </w:r>
      <w:r w:rsidRPr="002069C6">
        <w:rPr>
          <w:rFonts w:ascii="Cambria" w:hAnsi="Cambria"/>
          <w:color w:val="000000"/>
          <w:lang w:val="en-IN" w:eastAsia="en-IN"/>
        </w:rPr>
        <w:t xml:space="preserve">architecture and interfaces, GSM architecture details, GSM subsystems, GSM Logical Channels, Data Encryption in GSM, Mobility Management, </w:t>
      </w:r>
      <w:proofErr w:type="gramStart"/>
      <w:r w:rsidRPr="002069C6">
        <w:rPr>
          <w:rFonts w:ascii="Cambria" w:hAnsi="Cambria"/>
          <w:color w:val="000000"/>
          <w:lang w:val="en-IN" w:eastAsia="en-IN"/>
        </w:rPr>
        <w:t>Call</w:t>
      </w:r>
      <w:proofErr w:type="gramEnd"/>
      <w:r w:rsidRPr="002069C6">
        <w:rPr>
          <w:rFonts w:ascii="Cambria" w:hAnsi="Cambria"/>
          <w:color w:val="000000"/>
          <w:lang w:val="en-IN" w:eastAsia="en-IN"/>
        </w:rPr>
        <w:t xml:space="preserve"> Flows in GSM.2.5 G Standards: High speed Circuit Switched Data (HSCSD), General Packet Radio Service (GPRS), 2.75 G Standards: EDGE.</w:t>
      </w:r>
    </w:p>
    <w:p w:rsidR="00E34C2F" w:rsidRPr="002069C6" w:rsidRDefault="00E34C2F" w:rsidP="00E34C2F">
      <w:pPr>
        <w:ind w:left="536"/>
        <w:jc w:val="both"/>
        <w:rPr>
          <w:lang w:val="en-IN" w:eastAsia="en-IN"/>
        </w:rPr>
      </w:pPr>
      <w:r w:rsidRPr="002069C6">
        <w:rPr>
          <w:rFonts w:ascii="Cambria" w:hAnsi="Cambria"/>
          <w:b/>
          <w:bCs/>
          <w:color w:val="000000"/>
          <w:lang w:val="en-IN" w:eastAsia="en-IN"/>
        </w:rPr>
        <w:t>Unit II:  (6L)</w:t>
      </w:r>
    </w:p>
    <w:p w:rsidR="00E34C2F" w:rsidRPr="002069C6" w:rsidRDefault="00E34C2F" w:rsidP="00DE396C">
      <w:pPr>
        <w:ind w:left="536"/>
        <w:jc w:val="both"/>
        <w:rPr>
          <w:lang w:val="en-IN" w:eastAsia="en-IN"/>
        </w:rPr>
      </w:pPr>
      <w:r w:rsidRPr="002069C6">
        <w:rPr>
          <w:rFonts w:ascii="Cambria" w:hAnsi="Cambria"/>
          <w:color w:val="000000"/>
          <w:lang w:val="en-IN" w:eastAsia="en-IN"/>
        </w:rPr>
        <w:t>Spectral efficiency analysis based on calculations for multiple access technologies: TDMA, FDMA and CDMA, Comparison of these technologies based on their signal separation techniques, advantages, disadvantages and application areas. Wireless network planning (Link budget and power spectrum calculations).</w:t>
      </w:r>
    </w:p>
    <w:p w:rsidR="00E34C2F" w:rsidRPr="002069C6" w:rsidRDefault="00E34C2F" w:rsidP="00E34C2F">
      <w:pPr>
        <w:ind w:left="536"/>
        <w:jc w:val="both"/>
        <w:rPr>
          <w:lang w:val="en-IN" w:eastAsia="en-IN"/>
        </w:rPr>
      </w:pPr>
      <w:r w:rsidRPr="002069C6">
        <w:rPr>
          <w:rFonts w:ascii="Cambria" w:hAnsi="Cambria"/>
          <w:b/>
          <w:bCs/>
          <w:color w:val="000000"/>
          <w:lang w:val="en-IN" w:eastAsia="en-IN"/>
        </w:rPr>
        <w:t>Unit III: (10L)</w:t>
      </w:r>
    </w:p>
    <w:p w:rsidR="00E34C2F" w:rsidRPr="002069C6" w:rsidRDefault="00E34C2F" w:rsidP="00DE396C">
      <w:pPr>
        <w:ind w:left="536"/>
        <w:jc w:val="both"/>
        <w:rPr>
          <w:lang w:val="en-IN" w:eastAsia="en-IN"/>
        </w:rPr>
      </w:pPr>
      <w:r w:rsidRPr="002069C6">
        <w:rPr>
          <w:rFonts w:ascii="Cambria" w:hAnsi="Cambria"/>
          <w:color w:val="000000"/>
          <w:lang w:val="en-IN" w:eastAsia="en-IN"/>
        </w:rPr>
        <w:t>Mobile Radio Propagation: Large Scale Path Loss, Free Space Propagation Model, Reflection, Ground Reflection (Two-Ray) Model, Diffraction, Scattering, Practical Link Budget Design using Path Loss Models, Outdoor Propagation Models, Indoor Propagation Models, Signal Penetration into Buildings. Small Scale Fading and Multipath Propagation, Impulse Response Model, Multipath Measurements, Parameters of Multipath channels, Types of Small Scale Fading: Time Delay Spread; Flat, Frequency selective, Doppler Spread; Fast and Slow fading.</w:t>
      </w:r>
    </w:p>
    <w:p w:rsidR="00E34C2F" w:rsidRPr="002069C6" w:rsidRDefault="00E34C2F" w:rsidP="00E34C2F">
      <w:pPr>
        <w:ind w:left="536"/>
        <w:jc w:val="both"/>
        <w:rPr>
          <w:lang w:val="en-IN" w:eastAsia="en-IN"/>
        </w:rPr>
      </w:pPr>
      <w:r w:rsidRPr="002069C6">
        <w:rPr>
          <w:rFonts w:ascii="Cambria" w:hAnsi="Cambria"/>
          <w:b/>
          <w:bCs/>
          <w:color w:val="000000"/>
          <w:lang w:val="en-IN" w:eastAsia="en-IN"/>
        </w:rPr>
        <w:t>Unit IV: (4L)</w:t>
      </w:r>
    </w:p>
    <w:p w:rsidR="00E34C2F" w:rsidRPr="002069C6" w:rsidRDefault="00E34C2F" w:rsidP="00DE396C">
      <w:pPr>
        <w:ind w:left="536"/>
        <w:jc w:val="both"/>
        <w:rPr>
          <w:lang w:val="en-IN" w:eastAsia="en-IN"/>
        </w:rPr>
      </w:pPr>
      <w:r w:rsidRPr="002069C6">
        <w:rPr>
          <w:rFonts w:ascii="Cambria" w:hAnsi="Cambria"/>
          <w:color w:val="000000"/>
          <w:lang w:val="en-IN" w:eastAsia="en-IN"/>
        </w:rPr>
        <w:t>Equalization, Diversity: Equalizers in a communications receiver, Algorithms for adaptive</w:t>
      </w:r>
      <w:r w:rsidR="00AA006D">
        <w:rPr>
          <w:rFonts w:ascii="Cambria" w:hAnsi="Cambria"/>
          <w:color w:val="000000"/>
          <w:lang w:val="en-IN" w:eastAsia="en-IN"/>
        </w:rPr>
        <w:t xml:space="preserve"> </w:t>
      </w:r>
      <w:r w:rsidRPr="002069C6">
        <w:rPr>
          <w:rFonts w:ascii="Cambria" w:hAnsi="Cambria"/>
          <w:color w:val="000000"/>
          <w:lang w:val="en-IN" w:eastAsia="en-IN"/>
        </w:rPr>
        <w:t>equalization, diversity techniques, space, polarization, frequency diversity, Interleaving.</w:t>
      </w:r>
    </w:p>
    <w:p w:rsidR="00E34C2F" w:rsidRPr="002069C6" w:rsidRDefault="00E34C2F" w:rsidP="00E34C2F">
      <w:pPr>
        <w:ind w:left="536"/>
        <w:jc w:val="both"/>
        <w:rPr>
          <w:lang w:val="en-IN" w:eastAsia="en-IN"/>
        </w:rPr>
      </w:pPr>
      <w:r w:rsidRPr="002069C6">
        <w:rPr>
          <w:rFonts w:ascii="Cambria" w:hAnsi="Cambria"/>
          <w:b/>
          <w:bCs/>
          <w:color w:val="000000"/>
          <w:lang w:val="en-IN" w:eastAsia="en-IN"/>
        </w:rPr>
        <w:t>Unit V: (6L)</w:t>
      </w:r>
    </w:p>
    <w:p w:rsidR="00E34C2F" w:rsidRPr="002069C6" w:rsidRDefault="00E34C2F" w:rsidP="00E34C2F">
      <w:pPr>
        <w:ind w:left="536"/>
        <w:jc w:val="both"/>
        <w:rPr>
          <w:lang w:val="en-IN" w:eastAsia="en-IN"/>
        </w:rPr>
      </w:pPr>
      <w:r w:rsidRPr="002069C6">
        <w:rPr>
          <w:rFonts w:ascii="Cambria" w:hAnsi="Cambria"/>
          <w:color w:val="000000"/>
          <w:lang w:val="en-IN" w:eastAsia="en-IN"/>
        </w:rPr>
        <w:t>Code Division Multiple Access: Introduction to CDMA technology, IS 95 system Architecture, Air Interface, Physical and logical channels of IS 95, Forward Link and Reverse link operation, Physical and Logical channels of IS 95 CDMA, IS 95 CDMA Call Processing, soft Handoff, Evolution of IS 95 (CDMA One) to CDMA 2000, CDMA 2000 layering structure and channels.</w:t>
      </w:r>
    </w:p>
    <w:p w:rsidR="00E34C2F" w:rsidRPr="002069C6" w:rsidRDefault="00E34C2F" w:rsidP="00E34C2F">
      <w:pPr>
        <w:ind w:left="536"/>
        <w:jc w:val="both"/>
        <w:rPr>
          <w:lang w:val="en-IN" w:eastAsia="en-IN"/>
        </w:rPr>
      </w:pPr>
      <w:r w:rsidRPr="002069C6">
        <w:rPr>
          <w:rFonts w:ascii="Cambria" w:hAnsi="Cambria"/>
          <w:b/>
          <w:bCs/>
          <w:color w:val="000000"/>
          <w:lang w:val="en-IN" w:eastAsia="en-IN"/>
        </w:rPr>
        <w:t>Unit VI: (4L)</w:t>
      </w:r>
    </w:p>
    <w:p w:rsidR="00E34C2F" w:rsidRPr="002069C6" w:rsidRDefault="00E34C2F" w:rsidP="00E34C2F">
      <w:pPr>
        <w:ind w:left="536"/>
        <w:jc w:val="both"/>
        <w:rPr>
          <w:lang w:val="en-IN" w:eastAsia="en-IN"/>
        </w:rPr>
      </w:pPr>
      <w:r w:rsidRPr="002069C6">
        <w:rPr>
          <w:rFonts w:ascii="Cambria" w:hAnsi="Cambria"/>
          <w:color w:val="000000"/>
          <w:lang w:val="en-IN" w:eastAsia="en-IN"/>
        </w:rPr>
        <w:t>Higher Generation Cellular Standards</w:t>
      </w:r>
      <w:proofErr w:type="gramStart"/>
      <w:r w:rsidRPr="002069C6">
        <w:rPr>
          <w:rFonts w:ascii="Cambria" w:hAnsi="Cambria"/>
          <w:color w:val="000000"/>
          <w:lang w:val="en-IN" w:eastAsia="en-IN"/>
        </w:rPr>
        <w:t>:3G</w:t>
      </w:r>
      <w:proofErr w:type="gramEnd"/>
      <w:r w:rsidRPr="002069C6">
        <w:rPr>
          <w:rFonts w:ascii="Cambria" w:hAnsi="Cambria"/>
          <w:color w:val="000000"/>
          <w:lang w:val="en-IN" w:eastAsia="en-IN"/>
        </w:rPr>
        <w:t xml:space="preserve"> Standards: evolved EDGE, enhancements in 4G standard, Architecture and representative protocols, call flow for LTE, </w:t>
      </w:r>
      <w:proofErr w:type="spellStart"/>
      <w:r w:rsidRPr="002069C6">
        <w:rPr>
          <w:rFonts w:ascii="Cambria" w:hAnsi="Cambria"/>
          <w:color w:val="000000"/>
          <w:lang w:val="en-IN" w:eastAsia="en-IN"/>
        </w:rPr>
        <w:t>VoLTE</w:t>
      </w:r>
      <w:proofErr w:type="spellEnd"/>
      <w:r w:rsidRPr="002069C6">
        <w:rPr>
          <w:rFonts w:ascii="Cambria" w:hAnsi="Cambria"/>
          <w:color w:val="000000"/>
          <w:lang w:val="en-IN" w:eastAsia="en-IN"/>
        </w:rPr>
        <w:t>, UMTS, introduction to 5G.</w:t>
      </w:r>
    </w:p>
    <w:p w:rsidR="00E34C2F" w:rsidRPr="002069C6" w:rsidRDefault="00E34C2F" w:rsidP="00E34C2F">
      <w:pPr>
        <w:rPr>
          <w:lang w:val="en-IN" w:eastAsia="en-IN"/>
        </w:rPr>
      </w:pPr>
    </w:p>
    <w:p w:rsidR="00E34C2F" w:rsidRPr="00DE396C" w:rsidRDefault="00E34C2F" w:rsidP="00E34C2F">
      <w:pPr>
        <w:numPr>
          <w:ilvl w:val="0"/>
          <w:numId w:val="1"/>
        </w:numPr>
        <w:ind w:left="536"/>
        <w:textAlignment w:val="baseline"/>
        <w:rPr>
          <w:b/>
          <w:bCs/>
          <w:color w:val="000000"/>
          <w:sz w:val="20"/>
          <w:szCs w:val="20"/>
          <w:lang w:val="en-IN" w:eastAsia="en-IN"/>
        </w:rPr>
      </w:pPr>
      <w:r w:rsidRPr="00DE396C">
        <w:rPr>
          <w:b/>
          <w:bCs/>
          <w:color w:val="000000"/>
          <w:sz w:val="20"/>
          <w:szCs w:val="20"/>
          <w:lang w:val="en-IN" w:eastAsia="en-IN"/>
        </w:rPr>
        <w:t>Text Book and Reference Book</w:t>
      </w:r>
    </w:p>
    <w:p w:rsidR="00E34C2F" w:rsidRPr="00DE396C" w:rsidRDefault="00E34C2F" w:rsidP="00E34C2F">
      <w:pPr>
        <w:ind w:left="720"/>
        <w:jc w:val="both"/>
        <w:rPr>
          <w:sz w:val="20"/>
          <w:szCs w:val="20"/>
          <w:lang w:val="en-IN" w:eastAsia="en-IN"/>
        </w:rPr>
      </w:pPr>
      <w:r w:rsidRPr="00DE396C">
        <w:rPr>
          <w:b/>
          <w:bCs/>
          <w:color w:val="000000"/>
          <w:sz w:val="20"/>
          <w:szCs w:val="20"/>
          <w:lang w:val="en-IN" w:eastAsia="en-IN"/>
        </w:rPr>
        <w:t>Text Book:</w:t>
      </w:r>
    </w:p>
    <w:p w:rsidR="00E34C2F" w:rsidRPr="00DE396C" w:rsidRDefault="00E34C2F" w:rsidP="00E34C2F">
      <w:pPr>
        <w:ind w:firstLine="720"/>
        <w:jc w:val="both"/>
        <w:rPr>
          <w:sz w:val="20"/>
          <w:szCs w:val="20"/>
          <w:lang w:val="en-IN" w:eastAsia="en-IN"/>
        </w:rPr>
      </w:pPr>
      <w:r w:rsidRPr="00DE396C">
        <w:rPr>
          <w:color w:val="000000"/>
          <w:sz w:val="20"/>
          <w:szCs w:val="20"/>
          <w:lang w:val="en-IN" w:eastAsia="en-IN"/>
        </w:rPr>
        <w:t xml:space="preserve">1. V. K. </w:t>
      </w:r>
      <w:proofErr w:type="spellStart"/>
      <w:r w:rsidRPr="00DE396C">
        <w:rPr>
          <w:color w:val="000000"/>
          <w:sz w:val="20"/>
          <w:szCs w:val="20"/>
          <w:lang w:val="en-IN" w:eastAsia="en-IN"/>
        </w:rPr>
        <w:t>Garg</w:t>
      </w:r>
      <w:proofErr w:type="spellEnd"/>
      <w:r w:rsidRPr="00DE396C">
        <w:rPr>
          <w:color w:val="000000"/>
          <w:sz w:val="20"/>
          <w:szCs w:val="20"/>
          <w:lang w:val="en-IN" w:eastAsia="en-IN"/>
        </w:rPr>
        <w:t xml:space="preserve">, </w:t>
      </w:r>
      <w:proofErr w:type="spellStart"/>
      <w:r w:rsidRPr="00DE396C">
        <w:rPr>
          <w:color w:val="000000"/>
          <w:sz w:val="20"/>
          <w:szCs w:val="20"/>
          <w:lang w:val="en-IN" w:eastAsia="en-IN"/>
        </w:rPr>
        <w:t>J.E.Wilkes</w:t>
      </w:r>
      <w:proofErr w:type="spellEnd"/>
      <w:r w:rsidRPr="00DE396C">
        <w:rPr>
          <w:color w:val="000000"/>
          <w:sz w:val="20"/>
          <w:szCs w:val="20"/>
          <w:lang w:val="en-IN" w:eastAsia="en-IN"/>
        </w:rPr>
        <w:t>, “Principle and Application of GSM”, Pearson Education, 5th</w:t>
      </w:r>
    </w:p>
    <w:p w:rsidR="00E34C2F" w:rsidRPr="00DE396C" w:rsidRDefault="00E34C2F" w:rsidP="00E34C2F">
      <w:pPr>
        <w:ind w:firstLine="720"/>
        <w:jc w:val="both"/>
        <w:rPr>
          <w:sz w:val="20"/>
          <w:szCs w:val="20"/>
          <w:lang w:val="en-IN" w:eastAsia="en-IN"/>
        </w:rPr>
      </w:pPr>
      <w:r w:rsidRPr="00DE396C">
        <w:rPr>
          <w:color w:val="000000"/>
          <w:sz w:val="20"/>
          <w:szCs w:val="20"/>
          <w:lang w:val="en-IN" w:eastAsia="en-IN"/>
        </w:rPr>
        <w:t>      </w:t>
      </w:r>
      <w:proofErr w:type="gramStart"/>
      <w:r w:rsidRPr="00DE396C">
        <w:rPr>
          <w:color w:val="000000"/>
          <w:sz w:val="20"/>
          <w:szCs w:val="20"/>
          <w:lang w:val="en-IN" w:eastAsia="en-IN"/>
        </w:rPr>
        <w:t>edition</w:t>
      </w:r>
      <w:proofErr w:type="gramEnd"/>
      <w:r w:rsidRPr="00DE396C">
        <w:rPr>
          <w:color w:val="000000"/>
          <w:sz w:val="20"/>
          <w:szCs w:val="20"/>
          <w:lang w:val="en-IN" w:eastAsia="en-IN"/>
        </w:rPr>
        <w:t>, 2008.</w:t>
      </w:r>
    </w:p>
    <w:p w:rsidR="00E34C2F" w:rsidRPr="00DE396C" w:rsidRDefault="00E34C2F" w:rsidP="00E34C2F">
      <w:pPr>
        <w:ind w:firstLine="720"/>
        <w:jc w:val="both"/>
        <w:rPr>
          <w:sz w:val="20"/>
          <w:szCs w:val="20"/>
          <w:lang w:val="en-IN" w:eastAsia="en-IN"/>
        </w:rPr>
      </w:pPr>
      <w:r w:rsidRPr="00DE396C">
        <w:rPr>
          <w:color w:val="000000"/>
          <w:sz w:val="20"/>
          <w:szCs w:val="20"/>
          <w:lang w:val="en-IN" w:eastAsia="en-IN"/>
        </w:rPr>
        <w:t xml:space="preserve">2. V. K. </w:t>
      </w:r>
      <w:proofErr w:type="spellStart"/>
      <w:r w:rsidRPr="00DE396C">
        <w:rPr>
          <w:color w:val="000000"/>
          <w:sz w:val="20"/>
          <w:szCs w:val="20"/>
          <w:lang w:val="en-IN" w:eastAsia="en-IN"/>
        </w:rPr>
        <w:t>Garg</w:t>
      </w:r>
      <w:proofErr w:type="spellEnd"/>
      <w:r w:rsidRPr="00DE396C">
        <w:rPr>
          <w:color w:val="000000"/>
          <w:sz w:val="20"/>
          <w:szCs w:val="20"/>
          <w:lang w:val="en-IN" w:eastAsia="en-IN"/>
        </w:rPr>
        <w:t>, “IS-95 CDMA &amp; CDMA 2000”, Pearson Education, 4th edition, 2009.</w:t>
      </w:r>
    </w:p>
    <w:p w:rsidR="00E34C2F" w:rsidRPr="00DE396C" w:rsidRDefault="00E34C2F" w:rsidP="00E34C2F">
      <w:pPr>
        <w:ind w:firstLine="720"/>
        <w:jc w:val="both"/>
        <w:rPr>
          <w:sz w:val="20"/>
          <w:szCs w:val="20"/>
          <w:lang w:val="en-IN" w:eastAsia="en-IN"/>
        </w:rPr>
      </w:pPr>
      <w:r w:rsidRPr="00DE396C">
        <w:rPr>
          <w:color w:val="000000"/>
          <w:sz w:val="20"/>
          <w:szCs w:val="20"/>
          <w:lang w:val="en-IN" w:eastAsia="en-IN"/>
        </w:rPr>
        <w:t>3. T. S. Rappaport, “Wireless Communications Principles and Practice”, 2nd edition, PHI</w:t>
      </w:r>
      <w:proofErr w:type="gramStart"/>
      <w:r w:rsidRPr="00DE396C">
        <w:rPr>
          <w:color w:val="000000"/>
          <w:sz w:val="20"/>
          <w:szCs w:val="20"/>
          <w:lang w:val="en-IN" w:eastAsia="en-IN"/>
        </w:rPr>
        <w:t>,2002</w:t>
      </w:r>
      <w:proofErr w:type="gramEnd"/>
      <w:r w:rsidRPr="00DE396C">
        <w:rPr>
          <w:color w:val="000000"/>
          <w:sz w:val="20"/>
          <w:szCs w:val="20"/>
          <w:lang w:val="en-IN" w:eastAsia="en-IN"/>
        </w:rPr>
        <w:t>.</w:t>
      </w:r>
    </w:p>
    <w:p w:rsidR="00E34C2F" w:rsidRPr="00DE396C" w:rsidRDefault="00E34C2F" w:rsidP="00E34C2F">
      <w:pPr>
        <w:rPr>
          <w:sz w:val="20"/>
          <w:szCs w:val="20"/>
          <w:lang w:val="en-IN" w:eastAsia="en-IN"/>
        </w:rPr>
      </w:pPr>
    </w:p>
    <w:p w:rsidR="00DE396C" w:rsidRPr="00DE396C" w:rsidRDefault="00E34C2F" w:rsidP="00E34C2F">
      <w:pPr>
        <w:jc w:val="both"/>
        <w:rPr>
          <w:b/>
          <w:bCs/>
          <w:color w:val="000000"/>
          <w:sz w:val="20"/>
          <w:szCs w:val="20"/>
          <w:lang w:val="en-IN" w:eastAsia="en-IN"/>
        </w:rPr>
      </w:pPr>
      <w:r w:rsidRPr="00DE396C">
        <w:rPr>
          <w:b/>
          <w:bCs/>
          <w:color w:val="000000"/>
          <w:sz w:val="20"/>
          <w:szCs w:val="20"/>
          <w:lang w:val="en-IN" w:eastAsia="en-IN"/>
        </w:rPr>
        <w:t>               Reference Book:</w:t>
      </w:r>
    </w:p>
    <w:p w:rsidR="00E34C2F" w:rsidRPr="00DE396C" w:rsidRDefault="00E34C2F" w:rsidP="00BA2DAC">
      <w:pPr>
        <w:ind w:left="720"/>
        <w:jc w:val="both"/>
        <w:rPr>
          <w:sz w:val="20"/>
          <w:szCs w:val="20"/>
          <w:lang w:val="en-IN" w:eastAsia="en-IN"/>
        </w:rPr>
      </w:pPr>
      <w:r w:rsidRPr="00DE396C">
        <w:rPr>
          <w:color w:val="000000"/>
          <w:sz w:val="20"/>
          <w:szCs w:val="20"/>
          <w:lang w:val="en-IN" w:eastAsia="en-IN"/>
        </w:rPr>
        <w:t xml:space="preserve">1. William C. Y. Lee, “Mobile Cellular Telecommunications </w:t>
      </w:r>
      <w:proofErr w:type="spellStart"/>
      <w:r w:rsidRPr="00DE396C">
        <w:rPr>
          <w:color w:val="000000"/>
          <w:sz w:val="20"/>
          <w:szCs w:val="20"/>
          <w:lang w:val="en-IN" w:eastAsia="en-IN"/>
        </w:rPr>
        <w:t>Analog</w:t>
      </w:r>
      <w:proofErr w:type="spellEnd"/>
      <w:r w:rsidRPr="00DE396C">
        <w:rPr>
          <w:color w:val="000000"/>
          <w:sz w:val="20"/>
          <w:szCs w:val="20"/>
          <w:lang w:val="en-IN" w:eastAsia="en-IN"/>
        </w:rPr>
        <w:t xml:space="preserve"> and Digital Systems”, 2</w:t>
      </w:r>
      <w:r w:rsidRPr="00DE396C">
        <w:rPr>
          <w:color w:val="000000"/>
          <w:sz w:val="20"/>
          <w:szCs w:val="20"/>
          <w:vertAlign w:val="superscript"/>
          <w:lang w:val="en-IN" w:eastAsia="en-IN"/>
        </w:rPr>
        <w:t>nd</w:t>
      </w:r>
      <w:r w:rsidRPr="00DE396C">
        <w:rPr>
          <w:sz w:val="20"/>
          <w:szCs w:val="20"/>
          <w:lang w:val="en-IN" w:eastAsia="en-IN"/>
        </w:rPr>
        <w:t xml:space="preserve"> </w:t>
      </w:r>
      <w:r w:rsidRPr="00DE396C">
        <w:rPr>
          <w:color w:val="000000"/>
          <w:sz w:val="20"/>
          <w:szCs w:val="20"/>
          <w:lang w:val="en-IN" w:eastAsia="en-IN"/>
        </w:rPr>
        <w:t xml:space="preserve">edition, </w:t>
      </w:r>
      <w:r w:rsidR="00BA2DAC">
        <w:rPr>
          <w:color w:val="000000"/>
          <w:sz w:val="20"/>
          <w:szCs w:val="20"/>
          <w:lang w:val="en-IN" w:eastAsia="en-IN"/>
        </w:rPr>
        <w:t xml:space="preserve">   </w:t>
      </w:r>
      <w:r w:rsidRPr="00DE396C">
        <w:rPr>
          <w:color w:val="000000"/>
          <w:sz w:val="20"/>
          <w:szCs w:val="20"/>
          <w:lang w:val="en-IN" w:eastAsia="en-IN"/>
        </w:rPr>
        <w:t>TMH, 1995.</w:t>
      </w:r>
    </w:p>
    <w:p w:rsidR="00E34C2F" w:rsidRPr="00DE396C" w:rsidRDefault="00E34C2F" w:rsidP="00E34C2F">
      <w:pPr>
        <w:jc w:val="both"/>
        <w:rPr>
          <w:sz w:val="20"/>
          <w:szCs w:val="20"/>
          <w:lang w:val="en-IN" w:eastAsia="en-IN"/>
        </w:rPr>
      </w:pPr>
      <w:r w:rsidRPr="00DE396C">
        <w:rPr>
          <w:color w:val="000000"/>
          <w:sz w:val="20"/>
          <w:szCs w:val="20"/>
          <w:lang w:val="en-IN" w:eastAsia="en-IN"/>
        </w:rPr>
        <w:t>      </w:t>
      </w:r>
      <w:r w:rsidR="00BA2DAC">
        <w:rPr>
          <w:color w:val="000000"/>
          <w:sz w:val="20"/>
          <w:szCs w:val="20"/>
          <w:lang w:val="en-IN" w:eastAsia="en-IN"/>
        </w:rPr>
        <w:t xml:space="preserve">      </w:t>
      </w:r>
      <w:bookmarkStart w:id="0" w:name="_GoBack"/>
      <w:bookmarkEnd w:id="0"/>
      <w:r w:rsidRPr="00DE396C">
        <w:rPr>
          <w:color w:val="000000"/>
          <w:sz w:val="20"/>
          <w:szCs w:val="20"/>
          <w:lang w:val="en-IN" w:eastAsia="en-IN"/>
        </w:rPr>
        <w:t xml:space="preserve">  2. Asha </w:t>
      </w:r>
      <w:proofErr w:type="spellStart"/>
      <w:r w:rsidRPr="00DE396C">
        <w:rPr>
          <w:color w:val="000000"/>
          <w:sz w:val="20"/>
          <w:szCs w:val="20"/>
          <w:lang w:val="en-IN" w:eastAsia="en-IN"/>
        </w:rPr>
        <w:t>Mehrotra</w:t>
      </w:r>
      <w:proofErr w:type="spellEnd"/>
      <w:r w:rsidRPr="00DE396C">
        <w:rPr>
          <w:color w:val="000000"/>
          <w:sz w:val="20"/>
          <w:szCs w:val="20"/>
          <w:lang w:val="en-IN" w:eastAsia="en-IN"/>
        </w:rPr>
        <w:t xml:space="preserve">, “A GSM system Engineering” </w:t>
      </w:r>
      <w:proofErr w:type="spellStart"/>
      <w:r w:rsidRPr="00DE396C">
        <w:rPr>
          <w:color w:val="000000"/>
          <w:sz w:val="20"/>
          <w:szCs w:val="20"/>
          <w:lang w:val="en-IN" w:eastAsia="en-IN"/>
        </w:rPr>
        <w:t>Artech</w:t>
      </w:r>
      <w:proofErr w:type="spellEnd"/>
      <w:r w:rsidRPr="00DE396C">
        <w:rPr>
          <w:color w:val="000000"/>
          <w:sz w:val="20"/>
          <w:szCs w:val="20"/>
          <w:lang w:val="en-IN" w:eastAsia="en-IN"/>
        </w:rPr>
        <w:t xml:space="preserve"> House Publishers </w:t>
      </w:r>
      <w:proofErr w:type="spellStart"/>
      <w:r w:rsidRPr="00DE396C">
        <w:rPr>
          <w:color w:val="000000"/>
          <w:sz w:val="20"/>
          <w:szCs w:val="20"/>
          <w:lang w:val="en-IN" w:eastAsia="en-IN"/>
        </w:rPr>
        <w:t>Bosten</w:t>
      </w:r>
      <w:proofErr w:type="spellEnd"/>
      <w:proofErr w:type="gramStart"/>
      <w:r w:rsidRPr="00DE396C">
        <w:rPr>
          <w:color w:val="000000"/>
          <w:sz w:val="20"/>
          <w:szCs w:val="20"/>
          <w:lang w:val="en-IN" w:eastAsia="en-IN"/>
        </w:rPr>
        <w:t>,  London,1997</w:t>
      </w:r>
      <w:proofErr w:type="gramEnd"/>
      <w:r w:rsidRPr="00DE396C">
        <w:rPr>
          <w:color w:val="000000"/>
          <w:sz w:val="20"/>
          <w:szCs w:val="20"/>
          <w:lang w:val="en-IN" w:eastAsia="en-IN"/>
        </w:rPr>
        <w:t>.</w:t>
      </w:r>
    </w:p>
    <w:p w:rsidR="00E34C2F" w:rsidRPr="00DE396C" w:rsidRDefault="00E34C2F" w:rsidP="00E34C2F">
      <w:pPr>
        <w:jc w:val="both"/>
        <w:rPr>
          <w:sz w:val="20"/>
          <w:szCs w:val="20"/>
          <w:lang w:val="en-IN" w:eastAsia="en-IN"/>
        </w:rPr>
      </w:pPr>
      <w:r w:rsidRPr="00DE396C">
        <w:rPr>
          <w:color w:val="000000"/>
          <w:sz w:val="20"/>
          <w:szCs w:val="20"/>
          <w:lang w:val="en-IN" w:eastAsia="en-IN"/>
        </w:rPr>
        <w:t>              </w:t>
      </w:r>
    </w:p>
    <w:sectPr w:rsidR="00E34C2F" w:rsidRPr="00DE3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F206ED"/>
    <w:multiLevelType w:val="multilevel"/>
    <w:tmpl w:val="DA8A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C2F"/>
    <w:rsid w:val="00353BCF"/>
    <w:rsid w:val="003F2925"/>
    <w:rsid w:val="00810E63"/>
    <w:rsid w:val="00AA006D"/>
    <w:rsid w:val="00BA2DAC"/>
    <w:rsid w:val="00DE396C"/>
    <w:rsid w:val="00E34C2F"/>
    <w:rsid w:val="00F61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C55213-AA00-4116-BB8C-0DF121910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4C2F"/>
    <w:pPr>
      <w:spacing w:after="0" w:line="240" w:lineRule="auto"/>
    </w:pPr>
    <w:rPr>
      <w:rFonts w:ascii="Times New Roman" w:eastAsia="Times New Roman" w:hAnsi="Times New Roman" w:cs="Times New Roman"/>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c:creator>
  <cp:keywords/>
  <dc:description/>
  <cp:lastModifiedBy>WIN</cp:lastModifiedBy>
  <cp:revision>5</cp:revision>
  <dcterms:created xsi:type="dcterms:W3CDTF">2026-07-08T05:21:00Z</dcterms:created>
  <dcterms:modified xsi:type="dcterms:W3CDTF">2026-07-16T06:01:00Z</dcterms:modified>
</cp:coreProperties>
</file>