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2"/>
          <w:szCs w:val="32"/>
        </w:rPr>
        <w:t xml:space="preserve">A Multimodal Attention-Based Deep Learning Framework for Early Detection of Compound Climate Habitability Risk</w:t>
      </w:r>
    </w:p>
    <w:p>
      <w:pPr>
        <w:spacing w:after="0" w:line="240"/>
        <w:jc w:val="center"/>
      </w:pPr>
      <w:r>
        <w:rPr>
          <w:b/>
          <w:bCs/>
        </w:rPr>
        <w:t xml:space="preserve">Name: </w:t>
      </w:r>
      <w:r>
        <w:t xml:space="preserve">Debshata Choudhury</w:t>
      </w:r>
    </w:p>
    <w:p>
      <w:pPr>
        <w:spacing w:after="0" w:line="240"/>
        <w:jc w:val="center"/>
      </w:pPr>
      <w:r>
        <w:rPr>
          <w:b/>
          <w:bCs/>
        </w:rPr>
        <w:t xml:space="preserve">Enrollment Number: </w:t>
      </w:r>
      <w:r>
        <w:t xml:space="preserve">A2305223104</w:t>
      </w:r>
    </w:p>
    <w:p>
      <w:pPr>
        <w:spacing w:after="0" w:line="240"/>
        <w:jc w:val="center"/>
      </w:pPr>
      <w:r>
        <w:rPr>
          <w:b/>
          <w:bCs/>
        </w:rPr>
        <w:t xml:space="preserve">Section: </w:t>
      </w:r>
      <w:r>
        <w:t xml:space="preserve">7CSE-2X</w:t>
      </w:r>
    </w:p>
    <w:p>
      <w:pPr>
        <w:spacing w:after="0" w:line="240"/>
        <w:jc w:val="center"/>
      </w:pPr>
      <w:r>
        <w:rPr>
          <w:b/>
          <w:bCs/>
        </w:rPr>
        <w:t xml:space="preserve">Course: </w:t>
      </w:r>
      <w:r>
        <w:t xml:space="preserve">Generative AI</w:t>
      </w:r>
    </w:p>
    <w:p>
      <w:pPr>
        <w:spacing w:after="0" w:line="240"/>
        <w:jc w:val="center"/>
      </w:pPr>
      <w:r>
        <w:rPr>
          <w:b/>
          <w:bCs/>
        </w:rPr>
        <w:t xml:space="preserve">Submission: </w:t>
      </w:r>
      <w:r>
        <w:t xml:space="preserve">Problem Identification</w:t>
      </w:r>
    </w:p>
    <w:p>
      <w:pPr>
        <w:pBdr>
          <w:bottom w:val="single" w:color="808080" w:sz="6" w:space="6"/>
        </w:pBdr>
        <w:spacing w:after="120" w:line="240"/>
        <w:jc w:val="center"/>
      </w:pPr>
      <w:r>
        <w:rPr>
          <w:b/>
          <w:bCs/>
        </w:rPr>
        <w:t xml:space="preserve">Date: </w:t>
      </w:r>
      <w:r>
        <w:t xml:space="preserve">30 September 2026</w:t>
      </w:r>
    </w:p>
    <w:p>
      <w:pPr>
        <w:pStyle w:val="Heading1"/>
        <w:spacing w:after="100" w:before="200"/>
      </w:pPr>
      <w:r>
        <w:t xml:space="preserve">1. Problem Statement</w:t>
      </w:r>
    </w:p>
    <w:p>
      <w:pPr>
        <w:spacing w:after="80" w:line="276"/>
        <w:jc w:val="both"/>
      </w:pPr>
      <w:r>
        <w:t xml:space="preserve">The IPCC Sixth Assessment Report concludes that human-induced climate change is already affecting many weather and climate extremes in every region of the globe, and that human influence has likely increased the chance of compound extremes, including concurrent heatwaves and droughts [1]. The conditions that threaten human health and livelihoods, however, rarely arise from a single variable. The physiological burden of heat depends strongly on humidity, which limits evaporative cooling, and heat–humidity combinations approaching proposed limits of human tolerance have already been recorded at some locations [3]. Heat may coincide with elevated ozone or particulate pollution, while precipitation deficits deplete soil moisture and degrade vegetation; such compound events can produce impacts larger than any single hazard alone [2].</w:t>
      </w:r>
    </w:p>
    <w:p>
      <w:pPr>
        <w:spacing w:after="80" w:line="276"/>
        <w:jc w:val="both"/>
      </w:pPr>
      <w:r>
        <w:t xml:space="preserve">Temperature alone is therefore an incomplete proxy for environmental risk to people. Yet heat warnings, air-quality indices, drought monitors and satellite vegetation products are usually produced separately, by different organisations and at different resolutions, so analyses built on any one of them may miss situations in which several moderate stresses co-occur.</w:t>
      </w:r>
    </w:p>
    <w:p>
      <w:pPr>
        <w:spacing w:after="80" w:line="276"/>
        <w:jc w:val="both"/>
      </w:pPr>
      <w:r>
        <w:t xml:space="preserve">This project proposes to integrate meteorological, air-quality, drought, soil-moisture and vegetation signals into one analytical framework, formulated as a four-class classification task. The guiding research question is:</w:t>
      </w:r>
    </w:p>
    <w:p>
      <w:pPr>
        <w:spacing w:after="80" w:line="276"/>
        <w:ind w:left="567" w:right="567"/>
        <w:jc w:val="both"/>
      </w:pPr>
      <w:r>
        <w:rPr>
          <w:i/>
          <w:iCs/>
        </w:rPr>
        <w:t xml:space="preserve">“Can a multimodal deep learning framework integrating meteorological, air-quality, drought, soil and vegetation indicators improve the identification of compound environmental conditions associated with reduced human habitability compared with models based on individual environmental modalities?”</w:t>
      </w:r>
    </w:p>
    <w:p>
      <w:pPr>
        <w:spacing w:after="80" w:line="276"/>
        <w:jc w:val="both"/>
      </w:pPr>
      <w:r>
        <w:t xml:space="preserve">Technically, the project will investigate a branch-wise architecture: a temporal encoder (LSTM, GRU or Transformer) for climate sequences, a neural representation of air-quality variables, and a branch for drought, soil and vegetation indicators, combined through attention-based fusion and a softmax output layer. In this report, “habitability risk” denotes the degree of combined environmental stress on populations at a given place and time; it is not a determination that a location is, or will become, uninhabitable.</w:t>
      </w:r>
    </w:p>
    <w:p>
      <w:pPr>
        <w:pStyle w:val="Heading1"/>
        <w:spacing w:after="100" w:before="200"/>
      </w:pPr>
      <w:r>
        <w:t xml:space="preserve">2. Significance of the Work</w:t>
      </w:r>
    </w:p>
    <w:p>
      <w:pPr>
        <w:spacing w:after="80" w:line="276"/>
        <w:jc w:val="both"/>
      </w:pPr>
      <w:r>
        <w:rPr>
          <w:b/>
          <w:bCs/>
        </w:rPr>
        <w:t xml:space="preserve">Social significance. </w:t>
      </w:r>
      <w:r>
        <w:t xml:space="preserve">Exposure to extreme heat is rising as hot extremes become more frequent and intense [1], and the interaction of heat with humidity is particularly relevant for outdoor workers, older adults and people without access to cooling [3]. The WHO regards air pollution as one of the largest environmental threats to human health and substantially tightened its guideline levels in 2021 [4]. Drought and water stress affect water supply, agriculture and ecosystems, and degraded vegetation reduces natural cooling. These pressures converge in densely populated cities. Early identification of places and periods with elevated compound risk could support climate adaptation, public-health measures such as heat-action plans and air-quality alerts, urban planning and disaster preparedness, offering governments and environmental researchers a transparent screening input that complements, rather than replaces, official warning systems.</w:t>
      </w:r>
    </w:p>
    <w:p>
      <w:pPr>
        <w:spacing w:after="80" w:line="276"/>
        <w:jc w:val="both"/>
      </w:pPr>
      <w:r>
        <w:rPr>
          <w:b/>
          <w:bCs/>
        </w:rPr>
        <w:t xml:space="preserve">Scientific significance. </w:t>
      </w:r>
      <w:r>
        <w:t xml:space="preserve">The potential methodological contribution is the joint modelling of heterogeneous environmental signals through multimodal deep learning and attention-based feature fusion for compound-risk classification. Multimodal learning offers established fusion strategies for heterogeneous inputs [6], and attention [7] lets a model weight modalities adaptively; their application to compound-risk classification spanning air quality, drought and vegetation appears relatively less explored than single-hazard prediction. The project investigates whether such fusion adds measurable information over unimodal models; attention weights may offer indicative, though not definitive, insight into which modalities drive predictions.</w:t>
      </w:r>
    </w:p>
    <w:p>
      <w:pPr>
        <w:pStyle w:val="Heading1"/>
        <w:spacing w:after="100" w:before="200"/>
      </w:pPr>
      <w:r>
        <w:t xml:space="preserve">3. Finalized Dataset</w:t>
      </w:r>
    </w:p>
    <w:p>
      <w:pPr>
        <w:spacing w:after="80" w:line="276"/>
        <w:jc w:val="both"/>
      </w:pPr>
      <w:r>
        <w:t xml:space="preserve">No single public dataset contains all required variables. A core part of the project is therefore the construction of a harmonized multimodal dataset from verified public sources (Table 1). The Kaggle-hosted World Weather Repository [8] serves as the spatial–temporal anchor because it provides daily weather and co-located air-quality fields for capital cities worldwide.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450"/>
        <w:gridCol w:w="3076"/>
        <w:gridCol w:w="1850"/>
      </w:tblGrid>
      <w:tr>
        <w:trPr>
          <w:cantSplit/>
          <w:tblHeader/>
        </w:trPr>
        <w:tc>
          <w:tcPr>
            <w:tcW w:type="dxa" w:w="165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9"/>
                <w:szCs w:val="19"/>
              </w:rPr>
              <w:t xml:space="preserve">Dataset Component</w:t>
            </w:r>
          </w:p>
        </w:tc>
        <w:tc>
          <w:tcPr>
            <w:tcW w:type="dxa" w:w="245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9"/>
                <w:szCs w:val="19"/>
              </w:rPr>
              <w:t xml:space="preserve">Example Variables</w:t>
            </w:r>
          </w:p>
        </w:tc>
        <w:tc>
          <w:tcPr>
            <w:tcW w:type="dxa" w:w="307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9"/>
                <w:szCs w:val="19"/>
              </w:rPr>
              <w:t xml:space="preserve">Proposed Source (verified)</w:t>
            </w:r>
          </w:p>
        </w:tc>
        <w:tc>
          <w:tcPr>
            <w:tcW w:type="dxa" w:w="185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9"/>
                <w:szCs w:val="19"/>
              </w:rPr>
              <w:t xml:space="preserve">Purpose</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bCs/>
                <w:sz w:val="19"/>
                <w:szCs w:val="19"/>
              </w:rPr>
              <w:t xml:space="preserve">Global Weather</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Date, city, country, latitude, longitude, temperature, feels-like temperature, humidity, precipitation, wind speed, pressure, UV index</w:t>
            </w:r>
          </w:p>
        </w:tc>
        <w:tc>
          <w:tcPr>
            <w:tcW w:type="dxa" w:w="30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World Weather Repository (Daily Updating), Kaggle [8]; data collected from WeatherAPI.com; ~195 capital cities worldwide; daily records from Aug 2023 onwards</w:t>
            </w:r>
          </w:p>
        </w:tc>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Temporal climate branch; heat and heat–humidity indicators</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bCs/>
                <w:sz w:val="19"/>
                <w:szCs w:val="19"/>
              </w:rPr>
              <w:t xml:space="preserve">Air Quality</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PM2.5, PM10, NO2, O3, CO, SO2, US-EPA and UK-DEFRA index values</w:t>
            </w:r>
          </w:p>
        </w:tc>
        <w:tc>
          <w:tcPr>
            <w:tcW w:type="dxa" w:w="30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Air-quality fields co-located in [8]; cross-checked against station measurements from OpenAQ (API v3), a non-profit aggregator of government and research monitors [9]</w:t>
            </w:r>
          </w:p>
        </w:tc>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Air-quality branch; pollution stress indicator</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bCs/>
                <w:sz w:val="19"/>
                <w:szCs w:val="19"/>
              </w:rPr>
              <w:t xml:space="preserve">Drought &amp; Soil</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Surface and root-zone soil wetness (GWETTOP, GWETROOT), corrected precipitation, daily maximum temperature, relative humidity; SPEI</w:t>
            </w:r>
          </w:p>
        </w:tc>
        <w:tc>
          <w:tcPr>
            <w:tcW w:type="dxa" w:w="30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NASA POWER (NASA Langley; MERRA-2-derived), global point data, daily, 1981–near present, CSV via API [10]; SPEIbase/SPEI (CSIC), global 0.5°, monthly [5], [11]. Auxiliary: Kaggle “Predict Droughts using Weather &amp; Soil Data” (US counties only) [12]</w:t>
            </w:r>
          </w:p>
        </w:tc>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Drought/soil branch; drought and soil-moisture stress indicators</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bCs/>
                <w:sz w:val="19"/>
                <w:szCs w:val="19"/>
              </w:rPr>
              <w:t xml:space="preserve">Vegetation / NDVI</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Monthly NDVI and EVI; NDVI anomaly relative to location baseline</w:t>
            </w:r>
          </w:p>
        </w:tc>
        <w:tc>
          <w:tcPr>
            <w:tcW w:type="dxa" w:w="30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MODIS MOD13A3 v6.1 Vegetation Indices, NASA LP DAAC; global 1 km, monthly, 2000–present; city-point extraction to CSV via NASA AppEEARS [13]</w:t>
            </w:r>
          </w:p>
        </w:tc>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Vegetation stress indicator</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bCs/>
                <w:sz w:val="19"/>
                <w:szCs w:val="19"/>
              </w:rPr>
              <w:t xml:space="preserve">Population / Geographic</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City, country, ISO codes, latitude, longitude, population</w:t>
            </w:r>
          </w:p>
        </w:tc>
        <w:tc>
          <w:tcPr>
            <w:tcW w:type="dxa" w:w="30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World Cities Database (SimpleMaps, built from NGIA, USGS, US Census and NASA sources), Kaggle mirror; ~47,000 cities [14]</w:t>
            </w:r>
          </w:p>
        </w:tc>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Spatial join key; population-exposure context</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bCs/>
                <w:sz w:val="19"/>
                <w:szCs w:val="19"/>
              </w:rPr>
              <w:t xml:space="preserve">Extreme Events (optional)</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Disaster type (heatwave, drought, flood, wildfire), country, date, impact</w:t>
            </w:r>
          </w:p>
        </w:tc>
        <w:tc>
          <w:tcPr>
            <w:tcW w:type="dxa" w:w="30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EM-DAT Emergency Events Database, CRED / UCLouvain; global, 1900–present [15]</w:t>
            </w:r>
          </w:p>
        </w:tc>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b w:val="false"/>
                <w:bCs w:val="false"/>
                <w:sz w:val="19"/>
                <w:szCs w:val="19"/>
              </w:rPr>
              <w:t xml:space="preserve">Contextual features and external validation only; not the target</w:t>
            </w:r>
          </w:p>
        </w:tc>
      </w:tr>
    </w:tbl>
    <w:p>
      <w:pPr>
        <w:spacing w:after="80" w:before="120"/>
        <w:jc w:val="center"/>
      </w:pPr>
      <w:r>
        <w:rPr>
          <w:b/>
          <w:bCs/>
          <w:sz w:val="20"/>
          <w:szCs w:val="20"/>
        </w:rPr>
        <w:t xml:space="preserve">Table 1. </w:t>
      </w:r>
      <w:r>
        <w:rPr>
          <w:sz w:val="20"/>
          <w:szCs w:val="20"/>
        </w:rPr>
        <w:t xml:space="preserve">Proposed components of the harmonized multimodal dataset</w:t>
      </w:r>
    </w:p>
    <w:p>
      <w:pPr>
        <w:spacing w:after="80" w:line="276"/>
        <w:jc w:val="both"/>
      </w:pPr>
      <w:r>
        <w:rPr>
          <w:b/>
          <w:bCs/>
        </w:rPr>
        <w:t xml:space="preserve">Verification and changes. </w:t>
      </w:r>
      <w:r>
        <w:t xml:space="preserve">All sources were checked against their hosting pages or official documentation. Three changes were made to the initial proposal: (i) the Kaggle drought dataset [12] covers only US counties (U.S. Drought Monitor labels), so global drought and soil information will come from NASA POWER [10] and SPEI [11], with [12] retained only as an auxiliary benchmark; (ii) the OpenAQ-derived Kaggle files examined were single snapshots rather than time series, so OpenAQ’s official API [9] will be used for cross-validation of air-quality values; and (iii) no verifiable global NDVI time series on Kaggle was found, so MODIS MOD13A3 [13] replaces it.</w:t>
      </w:r>
    </w:p>
    <w:p>
      <w:pPr>
        <w:spacing w:after="80" w:line="276"/>
        <w:jc w:val="both"/>
      </w:pPr>
      <w:r>
        <w:rPr>
          <w:b/>
          <w:bCs/>
        </w:rPr>
        <w:t xml:space="preserve">Integration strategy. </w:t>
      </w:r>
      <w:r>
        <w:t xml:space="preserve">Preprocessing will be performed before model training. Cities in [8] will be matched to [14] by nearest-coordinate (haversine) search with a country check, falling back to normalised city/region/country names where coordinates are missing; gridded sources (NASA POWER, SPEI, MODIS) will be sampled at these coordinates. Weather, air-quality and soil variables will be aligned to a common daily resolution (one record per city-day, with duplicates removed), while monthly SPEI and NDVI will be attached as slowly varying covariates using only months already completed at each date. Short gaps will be interpolated and longer gaps flagged; features will be standardised with training-split statistics only, and country or region encoded via one-hot vectors or embeddings.</w:t>
      </w:r>
    </w:p>
    <w:p>
      <w:pPr>
        <w:spacing w:after="80" w:line="276"/>
        <w:jc w:val="both"/>
      </w:pPr>
      <w:r>
        <w:t xml:space="preserve">Higher-risk classes are expected to be rare, so class imbalance will be addressed with class-weighted or focal loss and training-only resampling. To prevent data leakage, a chronological train/validation/test split will be used rather than random shuffling, rolling features will use past observations only, and the main task will predict the risk class over a future window from preceding inputs, so that the model does not merely reproduce the labelling rule. Geographic generalisation can additionally be assessed by holding out selected cities or regions. A known limitation is that [8] begins in August 2023 and covers capital cities, which constrains seasonal depth and spatial representativeness.</w:t>
      </w:r>
    </w:p>
    <w:p>
      <w:pPr>
        <w:pStyle w:val="Heading1"/>
        <w:spacing w:after="100" w:before="200"/>
      </w:pPr>
      <w:r>
        <w:t xml:space="preserve">4. Proposed Target Variable</w:t>
      </w:r>
    </w:p>
    <w:p>
      <w:pPr>
        <w:spacing w:after="80" w:line="276"/>
        <w:jc w:val="both"/>
      </w:pPr>
      <w:r>
        <w:rPr>
          <w:b/>
          <w:bCs/>
        </w:rPr>
        <w:t xml:space="preserve">Compound Habitability Risk </w:t>
      </w:r>
      <w:r>
        <w:t xml:space="preserve">is proposed as an ordinal four-class target: Low, Moderate, High and Critical. These classes are a project-defined scheme and are not presented as an established scientific standard. Labels will be derived from a transparent compound-risk methodology that combines component indicators with published categories or established indices: heat stress (heat index or wet-bulb temperature [3]), air quality (WHO guideline levels and AQI categories [4]), drought (SPEI [5]), and soil-moisture and vegetation anomalies relative to each location’s own baseline. The compound class will reflect the number and severity of concurrent stresses rather than temperature alone. No numerical thresholds are fixed in this report; the label-generation procedure will be documented separately, tested for sensitivity, and validated (including plausibility checks against recorded events in EM-DAT [15]) before model training.</w:t>
      </w:r>
    </w:p>
    <w:p>
      <w:pPr>
        <w:pStyle w:val="Heading1"/>
        <w:spacing w:after="100" w:before="200"/>
      </w:pPr>
      <w:r>
        <w:t xml:space="preserve">5. Expected Methodological Contribution</w:t>
      </w:r>
    </w:p>
    <w:p>
      <w:pPr>
        <w:spacing w:after="80" w:line="276"/>
        <w:jc w:val="both"/>
      </w:pPr>
      <w:r>
        <w:t xml:space="preserve">The project does not simply apply an existing neural network to a single CSV file. Its intended contribution comprises multimodal dataset construction from independent public sources; harmonisation of environmental data across differing spatial and temporal resolutions; temporal modelling of climate sequences; attention-based multimodal fusion; and compound-risk classification. The proposed framework will be compared with baseline models (ANN, LSTM, GRU and, where computationally feasible, a Transformer) and with unimodal variants, and ablation experiments removing air-quality, drought, vegetation and humidity inputs will test which modalities contribute useful predictive information. No experiments have yet been conducted; all model results belong to the final experimental stage.</w:t>
      </w:r>
    </w:p>
    <w:p>
      <w:pPr>
        <w:pStyle w:val="Heading1"/>
        <w:spacing w:after="100" w:before="200"/>
      </w:pPr>
      <w:r>
        <w:t xml:space="preserve">References</w:t>
      </w:r>
    </w:p>
    <w:p>
      <w:pPr>
        <w:tabs>
          <w:tab w:val="left" w:pos="500"/>
        </w:tabs>
        <w:spacing w:after="30" w:line="240"/>
        <w:ind w:left="500" w:hanging="500"/>
        <w:jc w:val="left"/>
      </w:pPr>
      <w:r>
        <w:rPr>
          <w:sz w:val="21"/>
          <w:szCs w:val="21"/>
        </w:rPr>
        <w:t xml:space="preserve">[1]	</w:t>
      </w:r>
      <w:r>
        <w:rPr>
          <w:sz w:val="21"/>
          <w:szCs w:val="21"/>
        </w:rPr>
        <w:t xml:space="preserve">IPCC, “Summary for policymakers,” in Climate Change 2021: The Physical Science Basis. Contribution of Working Group I to the Sixth Assessment Report of the Intergovernmental Panel on Climate Change. Cambridge, U.K.: Cambridge Univ. Press, 2021, pp. 3–32, doi: 10.1017/9781009157896.001.</w:t>
      </w:r>
    </w:p>
    <w:p>
      <w:pPr>
        <w:tabs>
          <w:tab w:val="left" w:pos="500"/>
        </w:tabs>
        <w:spacing w:after="30" w:line="240"/>
        <w:ind w:left="500" w:hanging="500"/>
        <w:jc w:val="left"/>
      </w:pPr>
      <w:r>
        <w:rPr>
          <w:sz w:val="21"/>
          <w:szCs w:val="21"/>
        </w:rPr>
        <w:t xml:space="preserve">[2]	</w:t>
      </w:r>
      <w:r>
        <w:rPr>
          <w:sz w:val="21"/>
          <w:szCs w:val="21"/>
        </w:rPr>
        <w:t xml:space="preserve">J. Zscheischler et al., “Future climate risk from compound events,” Nature Climate Change, vol. 8, no. 6, pp. 469–477, 2018, doi: 10.1038/s41558-018-0156-3.</w:t>
      </w:r>
    </w:p>
    <w:p>
      <w:pPr>
        <w:tabs>
          <w:tab w:val="left" w:pos="500"/>
        </w:tabs>
        <w:spacing w:after="30" w:line="240"/>
        <w:ind w:left="500" w:hanging="500"/>
        <w:jc w:val="left"/>
      </w:pPr>
      <w:r>
        <w:rPr>
          <w:sz w:val="21"/>
          <w:szCs w:val="21"/>
        </w:rPr>
        <w:t xml:space="preserve">[3]	</w:t>
      </w:r>
      <w:r>
        <w:rPr>
          <w:sz w:val="21"/>
          <w:szCs w:val="21"/>
        </w:rPr>
        <w:t xml:space="preserve">C. Raymond, T. Matthews, and R. M. Horton, “The emergence of heat and humidity too severe for human tolerance,” Science Advances, vol. 6, no. 19, Art. no. eaaw1838, 2020, doi: 10.1126/sciadv.aaw1838.</w:t>
      </w:r>
    </w:p>
    <w:p>
      <w:pPr>
        <w:tabs>
          <w:tab w:val="left" w:pos="500"/>
        </w:tabs>
        <w:spacing w:after="30" w:line="240"/>
        <w:ind w:left="500" w:hanging="500"/>
        <w:jc w:val="left"/>
      </w:pPr>
      <w:r>
        <w:rPr>
          <w:sz w:val="21"/>
          <w:szCs w:val="21"/>
        </w:rPr>
        <w:t xml:space="preserve">[4]	</w:t>
      </w:r>
      <w:r>
        <w:rPr>
          <w:sz w:val="21"/>
          <w:szCs w:val="21"/>
        </w:rPr>
        <w:t xml:space="preserve">World Health Organization, WHO Global Air Quality Guidelines: Particulate Matter (PM2.5 and PM10), Ozone, Nitrogen Dioxide, Sulfur Dioxide and Carbon Monoxide. Geneva, Switzerland: WHO, 2021.</w:t>
      </w:r>
    </w:p>
    <w:p>
      <w:pPr>
        <w:tabs>
          <w:tab w:val="left" w:pos="500"/>
        </w:tabs>
        <w:spacing w:after="30" w:line="240"/>
        <w:ind w:left="500" w:hanging="500"/>
        <w:jc w:val="left"/>
      </w:pPr>
      <w:r>
        <w:rPr>
          <w:sz w:val="21"/>
          <w:szCs w:val="21"/>
        </w:rPr>
        <w:t xml:space="preserve">[5]	</w:t>
      </w:r>
      <w:r>
        <w:rPr>
          <w:sz w:val="21"/>
          <w:szCs w:val="21"/>
        </w:rPr>
        <w:t xml:space="preserve">S. M. Vicente-Serrano, S. Beguería, and J. I. López-Moreno, “A multiscalar drought index sensitive to global warming: The standardized precipitation evapotranspiration index,” Journal of Climate, vol. 23, no. 7, pp. 1696–1718, 2010, doi: 10.1175/2009JCLI2909.1.</w:t>
      </w:r>
    </w:p>
    <w:p>
      <w:pPr>
        <w:tabs>
          <w:tab w:val="left" w:pos="500"/>
        </w:tabs>
        <w:spacing w:after="30" w:line="240"/>
        <w:ind w:left="500" w:hanging="500"/>
        <w:jc w:val="left"/>
      </w:pPr>
      <w:r>
        <w:rPr>
          <w:sz w:val="21"/>
          <w:szCs w:val="21"/>
        </w:rPr>
        <w:t xml:space="preserve">[6]	</w:t>
      </w:r>
      <w:r>
        <w:rPr>
          <w:sz w:val="21"/>
          <w:szCs w:val="21"/>
        </w:rPr>
        <w:t xml:space="preserve">T. Baltrušaitis, C. Ahuja, and L.-P. Morency, “Multimodal machine learning: A survey and taxonomy,” IEEE Transactions on Pattern Analysis and Machine Intelligence, vol. 41, no. 2, pp. 423–443, 2019, doi: 10.1109/TPAMI.2018.2798607.</w:t>
      </w:r>
    </w:p>
    <w:p>
      <w:pPr>
        <w:tabs>
          <w:tab w:val="left" w:pos="500"/>
        </w:tabs>
        <w:spacing w:after="30" w:line="240"/>
        <w:ind w:left="500" w:hanging="500"/>
        <w:jc w:val="left"/>
      </w:pPr>
      <w:r>
        <w:rPr>
          <w:sz w:val="21"/>
          <w:szCs w:val="21"/>
        </w:rPr>
        <w:t xml:space="preserve">[7]	</w:t>
      </w:r>
      <w:r>
        <w:rPr>
          <w:sz w:val="21"/>
          <w:szCs w:val="21"/>
        </w:rPr>
        <w:t xml:space="preserve">A. Vaswani et al., “Attention is all you need,” in Advances in Neural Information Processing Systems, vol. 30, 2017, pp. 5998–6008.</w:t>
      </w:r>
    </w:p>
    <w:p>
      <w:pPr>
        <w:tabs>
          <w:tab w:val="left" w:pos="500"/>
        </w:tabs>
        <w:spacing w:after="30" w:line="240"/>
        <w:ind w:left="500" w:hanging="500"/>
        <w:jc w:val="left"/>
      </w:pPr>
      <w:r>
        <w:rPr>
          <w:sz w:val="21"/>
          <w:szCs w:val="21"/>
        </w:rPr>
        <w:t xml:space="preserve">[8]	</w:t>
      </w:r>
      <w:r>
        <w:rPr>
          <w:sz w:val="21"/>
          <w:szCs w:val="21"/>
        </w:rPr>
        <w:t xml:space="preserve">N. Elgiriyewithana, “World Weather Repository (Daily Updating),” Kaggle, 2023. [Online]. Available: https://www.kaggle.com/datasets/nelgiriyewithana/global-weather-repository</w:t>
      </w:r>
    </w:p>
    <w:p>
      <w:pPr>
        <w:tabs>
          <w:tab w:val="left" w:pos="500"/>
        </w:tabs>
        <w:spacing w:after="30" w:line="240"/>
        <w:ind w:left="500" w:hanging="500"/>
        <w:jc w:val="left"/>
      </w:pPr>
      <w:r>
        <w:rPr>
          <w:sz w:val="21"/>
          <w:szCs w:val="21"/>
        </w:rPr>
        <w:t xml:space="preserve">[9]	</w:t>
      </w:r>
      <w:r>
        <w:rPr>
          <w:sz w:val="21"/>
          <w:szCs w:val="21"/>
        </w:rPr>
        <w:t xml:space="preserve">OpenAQ, “About the OpenAQ API (v3),” OpenAQ documentation. [Online]. Available: https://docs.openaq.org/about/about</w:t>
      </w:r>
    </w:p>
    <w:p>
      <w:pPr>
        <w:tabs>
          <w:tab w:val="left" w:pos="500"/>
        </w:tabs>
        <w:spacing w:after="30" w:line="240"/>
        <w:ind w:left="500" w:hanging="500"/>
        <w:jc w:val="left"/>
      </w:pPr>
      <w:r>
        <w:rPr>
          <w:sz w:val="21"/>
          <w:szCs w:val="21"/>
        </w:rPr>
        <w:t xml:space="preserve">[10]	</w:t>
      </w:r>
      <w:r>
        <w:rPr>
          <w:sz w:val="21"/>
          <w:szCs w:val="21"/>
        </w:rPr>
        <w:t xml:space="preserve">NASA Langley Research Center, “POWER: Prediction Of Worldwide Energy Resources — Data Access,” NASA. [Online]. Available: https://power.larc.nasa.gov/</w:t>
      </w:r>
    </w:p>
    <w:p>
      <w:pPr>
        <w:tabs>
          <w:tab w:val="left" w:pos="500"/>
        </w:tabs>
        <w:spacing w:after="30" w:line="240"/>
        <w:ind w:left="500" w:hanging="500"/>
        <w:jc w:val="left"/>
      </w:pPr>
      <w:r>
        <w:rPr>
          <w:sz w:val="21"/>
          <w:szCs w:val="21"/>
        </w:rPr>
        <w:t xml:space="preserve">[11]	</w:t>
      </w:r>
      <w:r>
        <w:rPr>
          <w:sz w:val="21"/>
          <w:szCs w:val="21"/>
        </w:rPr>
        <w:t xml:space="preserve">Spanish National Research Council (CSIC), “Global SPEI database (SPEIbase).” [Online]. Available: https://spei.csic.es/database.html</w:t>
      </w:r>
    </w:p>
    <w:p>
      <w:pPr>
        <w:tabs>
          <w:tab w:val="left" w:pos="500"/>
        </w:tabs>
        <w:spacing w:after="30" w:line="240"/>
        <w:ind w:left="500" w:hanging="500"/>
        <w:jc w:val="left"/>
      </w:pPr>
      <w:r>
        <w:rPr>
          <w:sz w:val="21"/>
          <w:szCs w:val="21"/>
        </w:rPr>
        <w:t xml:space="preserve">[12]	</w:t>
      </w:r>
      <w:r>
        <w:rPr>
          <w:sz w:val="21"/>
          <w:szCs w:val="21"/>
        </w:rPr>
        <w:t xml:space="preserve">cdminix, “Predict Droughts using Weather &amp; Soil Data,” Kaggle, 2021 (sources: NASA POWER, U.S. Drought Monitor, Harmonized World Soil Database). [Online]. Available: https://www.kaggle.com/datasets/cdminix/us-drought-meteorological-data</w:t>
      </w:r>
    </w:p>
    <w:p>
      <w:pPr>
        <w:tabs>
          <w:tab w:val="left" w:pos="500"/>
        </w:tabs>
        <w:spacing w:after="30" w:line="240"/>
        <w:ind w:left="500" w:hanging="500"/>
        <w:jc w:val="left"/>
      </w:pPr>
      <w:r>
        <w:rPr>
          <w:sz w:val="21"/>
          <w:szCs w:val="21"/>
        </w:rPr>
        <w:t xml:space="preserve">[13]	</w:t>
      </w:r>
      <w:r>
        <w:rPr>
          <w:sz w:val="21"/>
          <w:szCs w:val="21"/>
        </w:rPr>
        <w:t xml:space="preserve">K. Didan, “MODIS/Terra Vegetation Indices Monthly L3 Global 1km SIN Grid V061 (MOD13A3),” NASA EOSDIS Land Processes DAAC, 2021, doi: 10.5067/MODIS/MOD13A3.061.</w:t>
      </w:r>
    </w:p>
    <w:p>
      <w:pPr>
        <w:tabs>
          <w:tab w:val="left" w:pos="500"/>
        </w:tabs>
        <w:spacing w:after="30" w:line="240"/>
        <w:ind w:left="500" w:hanging="500"/>
        <w:jc w:val="left"/>
      </w:pPr>
      <w:r>
        <w:rPr>
          <w:sz w:val="21"/>
          <w:szCs w:val="21"/>
        </w:rPr>
        <w:t xml:space="preserve">[14]	</w:t>
      </w:r>
      <w:r>
        <w:rPr>
          <w:sz w:val="21"/>
          <w:szCs w:val="21"/>
        </w:rPr>
        <w:t xml:space="preserve">SimpleMaps, “World Cities Database,” Kaggle mirror by J. Martínez. [Online]. Available: https://www.kaggle.com/datasets/juanmah/world-cities (original: https://simplemaps.com/data/world-cities)</w:t>
      </w:r>
    </w:p>
    <w:p>
      <w:pPr>
        <w:tabs>
          <w:tab w:val="left" w:pos="500"/>
        </w:tabs>
        <w:spacing w:after="30" w:line="240"/>
        <w:ind w:left="500" w:hanging="500"/>
        <w:jc w:val="left"/>
      </w:pPr>
      <w:r>
        <w:rPr>
          <w:sz w:val="21"/>
          <w:szCs w:val="21"/>
        </w:rPr>
        <w:t xml:space="preserve">[15]	</w:t>
      </w:r>
      <w:r>
        <w:rPr>
          <w:sz w:val="21"/>
          <w:szCs w:val="21"/>
        </w:rPr>
        <w:t xml:space="preserve">Centre for Research on the Epidemiology of Disasters (CRED), UCLouvain, “EM-DAT: The International Disaster Database.” [Online]. Available: https://www.emdat.be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6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2026-10-01T06:27:21.240Z</dcterms:created>
  <dcterms:modified xsi:type="dcterms:W3CDTF">2026-10-01T06:27:21.241Z</dcterms:modified>
</cp:coreProperties>
</file>

<file path=docProps/custom.xml><?xml version="1.0" encoding="utf-8"?>
<Properties xmlns="http://schemas.openxmlformats.org/officeDocument/2006/custom-properties" xmlns:vt="http://schemas.openxmlformats.org/officeDocument/2006/docPropsVTypes"/>
</file>