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EEETitle"/>
      </w:pPr>
      <w:r>
        <w:t>Quantum-Secure Fraud Detection System: A Risk-Adaptive Architecture Connecting Classical/Quantum Fraud Intelligence to Post-Quantum Security</w:t>
      </w:r>
    </w:p>
    <w:p>
      <w:pPr>
        <w:pStyle w:val="IEEEAuthorName"/>
      </w:pPr>
      <w:r>
        <w:t>Shreyansh Jaiswal, Abhishek Chaubey, Debshata Choudhury</w:t>
      </w:r>
    </w:p>
    <w:p>
      <w:pPr>
        <w:pStyle w:val="IEEEAuthorAffiliation"/>
      </w:pPr>
      <w:r>
        <w:t>Department of Computer Science and Engineering</w:t>
      </w:r>
    </w:p>
    <w:p>
      <w:pPr>
        <w:pStyle w:val="IEEEAuthorEmail"/>
      </w:pPr>
      <w:r>
        <w:t>debshatachoudhury@gmail.com</w:t>
      </w:r>
    </w:p>
    <w:p>
      <w:pPr>
        <w:pStyle w:val="IEEEAbstractHeading"/>
      </w:pPr>
      <w:r>
        <w:t>Abstract</w:t>
      </w:r>
    </w:p>
    <w:p>
      <w:pPr>
        <w:pStyle w:val="IEEEAbtract"/>
      </w:pPr>
      <w:r>
        <w:t>This project develops and empirically evaluates a two-layer research platform connecting behavioral fraud detection to risk-adaptive cryptographic security. Layer 1 combines classical machine learning (XGBoost, production) with a controlled quantum machine learning research program; a 20-seed paired experiment shows that a locality-motivated change to a quantum circuit's measurement observable produces a statistically significant improvement over a resource-matched baseline (bootstrap 95% CI excludes zero, Wilcoxon p=0.0086), while an equally rigorous classical-capacity-control experiment shows this improvement does not translate into a system-level predictive advantage over strong classical methods. Layer 2 implements and benchmarks classical cryptography (AES-256-GCM, RSA-3072, ECC/P-256), standardized post-quantum cryptography (ML-KEM-768, ML-DSA-65, SLH-DSA-SHA2-128s), and a BB84 quantum-key-distribution simulation. A pre-specified integration experiment connects the two layers through an auditable SecurityContext and finds that neither anomaly-assisted nor quantum-assisted security-routing signals clear a pre-committed cost budget on the tested data. No quantum advantage is claimed anywhere in this work; negative and null results are reported with the same rigor as positive ones.</w:t>
      </w:r>
    </w:p>
    <w:p>
      <w:pPr/>
      <w:r>
        <w:t>Keywords— fraud detection, quantum machine learning, post-quantum cryptography, BB84, risk-adaptive security, XGBoost, variational quantum circuits</w:t>
      </w:r>
    </w:p>
    <w:p>
      <w:pPr>
        <w:pStyle w:val="IEEEHeading1"/>
      </w:pPr>
      <w:r>
        <w:t>Introduction</w:t>
      </w:r>
    </w:p>
    <w:p>
      <w:pPr>
        <w:pStyle w:val="IEEEParagraph"/>
      </w:pPr>
      <w:r>
        <w:t>Financial transactions face two largely separately-studied risks: behavioral fraud and future cryptographic vulnerability to quantum computing. This project investigates both within a single connected architecture: a fraud-detection layer (Layer 1) whose output drives a risk-adaptive security layer (Layer 2), rather than treating the two as independent problems.</w:t>
      </w:r>
    </w:p>
    <w:p>
      <w:pPr>
        <w:pStyle w:val="IEEEParagraph"/>
      </w:pPr>
      <w:r>
        <w:t>The project's originating requirements are recorded in its Software Requirements Specification, authored by the project team, and are traced against this implementation in full in the project's requirements traceability matrix. Two genuine specification gaps are disclosed rather than hidden: no web dashboard or API layer exists in this implementation, and the datasets actually used differ from the SRS's original dataset list (see Section III).</w:t>
      </w:r>
    </w:p>
    <w:p>
      <w:pPr>
        <w:pStyle w:val="IEEEHeading2"/>
      </w:pPr>
      <w:r>
        <w:t>Problem Statement and Objectives</w:t>
      </w:r>
    </w:p>
    <w:p>
      <w:pPr>
        <w:pStyle w:val="IEEEParagraph"/>
      </w:pPr>
      <w:r>
        <w:t>Existing systems generally treat fraud detection and secure communication as separate technical problems. This project's objective is to determine, experimentally, whether behavioral fraud intelligence can be used to make cryptographic security orchestration more targeted and cost-effective, and separately, whether quantum computing provides any measurable predictive or operational advantage over strong classical methods at either layer.</w:t>
      </w:r>
    </w:p>
    <w:p>
      <w:pPr>
        <w:pStyle w:val="IEEEHeading1"/>
      </w:pPr>
      <w:r>
        <w:t>System Architecture</w:t>
      </w:r>
    </w:p>
    <w:p>
      <w:pPr>
        <w:pStyle w:val="IEEEParagraph"/>
      </w:pPr>
      <w:r>
        <w:t>A transaction is preprocessed and passed to Layer 1's classical model (XGBoost, production) and, in an isolated research capacity, to a quantum-ML branch. Layer 1 emits a FraudAssessment (fraud probability, risk score/level, model metadata). Layer 2 converts this into a SecurityContext and a SecurityPolicyEngine selects one of four security profiles -- BASELINE, PQC_ENHANCED, HYBRID_MAXIMUM, or QKD_EXPERIMENTAL -- each layering additional protection on top of a security baseline that is never weakened, regardless of assessed fraud risk.</w:t>
      </w:r>
    </w:p>
    <w:p>
      <w:pPr>
        <w:pStyle w:val="IEEEHeading1"/>
      </w:pPr>
      <w:r>
        <w:t>Requirements Traceability</w:t>
      </w:r>
    </w:p>
    <w:p>
      <w:pPr>
        <w:pStyle w:val="IEEEParagraph"/>
      </w:pPr>
      <w:r>
        <w:t>Every functional, interface, and performance requirement in the project SRS was mapped to its implementation status. Of the independently verifiable requirements, the large majority are implemented; the most significant gap is the absence of any web dashboard or API layer, and a divergence between the SRS's specified dataset list (which includes network-intrusion datasets seemingly intended for a future attack-simulation layer) and the datasets this implementation actually uses. The full traceability matrix is provided as project documentation.</w:t>
      </w:r>
    </w:p>
    <w:p>
      <w:pPr>
        <w:pStyle w:val="IEEEHeading1"/>
      </w:pPr>
      <w:r>
        <w:t>Literature Review</w:t>
      </w:r>
    </w:p>
    <w:p>
      <w:pPr>
        <w:pStyle w:val="IEEEParagraph"/>
      </w:pPr>
      <w:r>
        <w:t>Six research sources were read in full and used to motivate specific experiments in this project (rather than being reproduced wholesale). Cerezo et al. [3] proved that global measurement observables cause harder-to-train quantum circuits even at shallow depth; this directly motivated this project's central Layer 1 finding (Section VI). Kyriienko and Magnusson [4] proposed an unsupervised quantum-kernel anomaly detector on the identical Kaggle credit-card-fraud dataset this project uses; the corresponding experiment here found the approach did not replicate at scale. Data re-uploading [1] and barren-plateau initialization [2] were each tested as adapted experiments and did not improve on this project's existing baselines. NIST's FIPS 203/204/205 standards [6-8] define the post-quantum algorithms implemented in Layer 2, and the original BB84 protocol description [9] is the basis for Layer 2's quantum-key-distribution simulation. One supplied reference document could not be read (a scanned, image-only PDF with no extractable text) and its content is not guessed anywhere in this project.</w:t>
      </w:r>
    </w:p>
    <w:p>
      <w:pPr>
        <w:pStyle w:val="IEEEHeading1"/>
      </w:pPr>
      <w:r>
        <w:t>Methodology</w:t>
      </w:r>
    </w:p>
    <w:p>
      <w:pPr>
        <w:pStyle w:val="IEEEParagraph"/>
      </w:pPr>
      <w:r>
        <w:t>Layer 1 uses the Kaggle creditcardfraud dataset (284,807 transactions, 0.173% fraud) with a temporal train/validation/test split, duplicate removal prior to splitting, and preprocessing fit exclusively on the training fold. Four classical models were evaluated (Logistic Regression, Random Forest, XGBoost, Isolation Forest); XGBoost was selected for production owing to a substantially lower single-transaction latency at a statistically indistinguishable predictive difference from Random Forest. A parallel quantum research branch evaluated QSVM, VQC, and QNN architectures on a locked, rebalanced controlled subset, culminating in a 20-seed paired experiment (identical initialization per seed across both arms) comparing a global-observable QNN against a local-sum-observable QNN, validated with paired bootstrap, Wilcoxon signed-rank, and permutation tests, and cross-checked against a matched classical nonlinear capacity control.</w:t>
      </w:r>
    </w:p>
    <w:p>
      <w:pPr>
        <w:pStyle w:val="IEEEParagraph"/>
      </w:pPr>
      <w:r>
        <w:t>Layer 2 implements AES-256-GCM, RSA-3072, and ECC/P-256 via the maintained `cryptography` package, and ML-KEM-768, ML-DSA-65, and SLH-DSA-SHA2-128s via pure-Python reference implementations (native liboqs could not be built without a C toolchain in the development environment). All cryptographic operations were benchmarked with 30 repetitions (reduced to 5 for SLH-DSA signing given its substantial per-call cost). BB84 was implemented as a classical simulation of the protocol's sifting and quantum-bit-error-rate estimation procedure, evaluated across 30 trials per tested condition. The Layer 1-to-Layer 2 integration experiment's policy formulations, data samples, metrics, and selection criterion were all committed to a written protocol before the experiment was executed, specifically to prevent post-hoc selection of a favorable result.</w:t>
      </w:r>
    </w:p>
    <w:p>
      <w:pPr>
        <w:pStyle w:val="IEEEHeading1"/>
      </w:pPr>
      <w:r>
        <w:t>Layer 1: Results</w:t>
      </w:r>
    </w:p>
    <w:p>
      <w:pPr>
        <w:pStyle w:val="IEEETableCaption"/>
      </w:pPr>
      <w:r>
        <w:t>TABLE I</w:t>
      </w:r>
    </w:p>
    <w:p>
      <w:pPr>
        <w:pStyle w:val="IEEETableCaption"/>
      </w:pPr>
      <w:r>
        <w:t>Classical Model Comparison (Model, PR-AUC, ROC-AUC, Precision, Recall)</w:t>
      </w:r>
    </w:p>
    <w:tbl>
      <w:tblPr>
        <w:tblStyle w:val="TableGrid"/>
        <w:tblW w:type="auto" w:w="0"/>
        <w:tblLook w:firstColumn="1" w:firstRow="1" w:lastColumn="0" w:lastRow="0" w:noHBand="0" w:noVBand="1" w:val="04A0"/>
      </w:tblPr>
      <w:tblGrid>
        <w:gridCol w:w="2057"/>
        <w:gridCol w:w="2057"/>
        <w:gridCol w:w="2057"/>
        <w:gridCol w:w="2057"/>
        <w:gridCol w:w="2057"/>
      </w:tblGrid>
      <w:tr>
        <w:tc>
          <w:tcPr>
            <w:tcW w:type="dxa" w:w="2057"/>
          </w:tcPr>
          <w:p>
            <w:pPr>
              <w:pStyle w:val="IEEETableHeaderCentered"/>
            </w:pPr>
            <w:r>
              <w:t>model</w:t>
            </w:r>
          </w:p>
        </w:tc>
        <w:tc>
          <w:tcPr>
            <w:tcW w:type="dxa" w:w="2057"/>
          </w:tcPr>
          <w:p>
            <w:pPr>
              <w:pStyle w:val="IEEETableHeaderCentered"/>
            </w:pPr>
            <w:r>
              <w:t>pr_auc</w:t>
            </w:r>
          </w:p>
        </w:tc>
        <w:tc>
          <w:tcPr>
            <w:tcW w:type="dxa" w:w="2057"/>
          </w:tcPr>
          <w:p>
            <w:pPr>
              <w:pStyle w:val="IEEETableHeaderCentered"/>
            </w:pPr>
            <w:r>
              <w:t>roc_au</w:t>
            </w:r>
          </w:p>
        </w:tc>
        <w:tc>
          <w:tcPr>
            <w:tcW w:type="dxa" w:w="2057"/>
          </w:tcPr>
          <w:p>
            <w:pPr>
              <w:pStyle w:val="IEEETableHeaderCentered"/>
            </w:pPr>
            <w:r>
              <w:t>precis</w:t>
            </w:r>
          </w:p>
        </w:tc>
        <w:tc>
          <w:tcPr>
            <w:tcW w:type="dxa" w:w="2057"/>
          </w:tcPr>
          <w:p>
            <w:pPr>
              <w:pStyle w:val="IEEETableHeaderCentered"/>
            </w:pPr>
            <w:r>
              <w:t>recall</w:t>
            </w:r>
          </w:p>
        </w:tc>
      </w:tr>
      <w:tr>
        <w:tc>
          <w:tcPr>
            <w:tcW w:type="dxa" w:w="2057"/>
          </w:tcPr>
          <w:p>
            <w:pPr>
              <w:pStyle w:val="IEEETableCell"/>
            </w:pPr>
            <w:r>
              <w:t>random_forest</w:t>
            </w:r>
          </w:p>
        </w:tc>
        <w:tc>
          <w:tcPr>
            <w:tcW w:type="dxa" w:w="2057"/>
          </w:tcPr>
          <w:p>
            <w:pPr>
              <w:pStyle w:val="IEEETableCell"/>
            </w:pPr>
            <w:r>
              <w:t>0.8190</w:t>
            </w:r>
          </w:p>
        </w:tc>
        <w:tc>
          <w:tcPr>
            <w:tcW w:type="dxa" w:w="2057"/>
          </w:tcPr>
          <w:p>
            <w:pPr>
              <w:pStyle w:val="IEEETableCell"/>
            </w:pPr>
            <w:r>
              <w:t>0.9691</w:t>
            </w:r>
          </w:p>
        </w:tc>
        <w:tc>
          <w:tcPr>
            <w:tcW w:type="dxa" w:w="2057"/>
          </w:tcPr>
          <w:p>
            <w:pPr>
              <w:pStyle w:val="IEEETableCell"/>
            </w:pPr>
            <w:r>
              <w:t>0.9032</w:t>
            </w:r>
          </w:p>
        </w:tc>
        <w:tc>
          <w:tcPr>
            <w:tcW w:type="dxa" w:w="2057"/>
          </w:tcPr>
          <w:p>
            <w:pPr>
              <w:pStyle w:val="IEEETableCell"/>
            </w:pPr>
            <w:r>
              <w:t>0.7567</w:t>
            </w:r>
          </w:p>
        </w:tc>
      </w:tr>
      <w:tr>
        <w:tc>
          <w:tcPr>
            <w:tcW w:type="dxa" w:w="2057"/>
          </w:tcPr>
          <w:p>
            <w:pPr>
              <w:pStyle w:val="IEEETableCell"/>
            </w:pPr>
            <w:r>
              <w:t>xgboost</w:t>
            </w:r>
          </w:p>
        </w:tc>
        <w:tc>
          <w:tcPr>
            <w:tcW w:type="dxa" w:w="2057"/>
          </w:tcPr>
          <w:p>
            <w:pPr>
              <w:pStyle w:val="IEEETableCell"/>
            </w:pPr>
            <w:r>
              <w:t>0.8007</w:t>
            </w:r>
          </w:p>
        </w:tc>
        <w:tc>
          <w:tcPr>
            <w:tcW w:type="dxa" w:w="2057"/>
          </w:tcPr>
          <w:p>
            <w:pPr>
              <w:pStyle w:val="IEEETableCell"/>
            </w:pPr>
            <w:r>
              <w:t>0.9771</w:t>
            </w:r>
          </w:p>
        </w:tc>
        <w:tc>
          <w:tcPr>
            <w:tcW w:type="dxa" w:w="2057"/>
          </w:tcPr>
          <w:p>
            <w:pPr>
              <w:pStyle w:val="IEEETableCell"/>
            </w:pPr>
            <w:r>
              <w:t>0.9016</w:t>
            </w:r>
          </w:p>
        </w:tc>
        <w:tc>
          <w:tcPr>
            <w:tcW w:type="dxa" w:w="2057"/>
          </w:tcPr>
          <w:p>
            <w:pPr>
              <w:pStyle w:val="IEEETableCell"/>
            </w:pPr>
            <w:r>
              <w:t>0.7432</w:t>
            </w:r>
          </w:p>
        </w:tc>
      </w:tr>
      <w:tr>
        <w:tc>
          <w:tcPr>
            <w:tcW w:type="dxa" w:w="2057"/>
          </w:tcPr>
          <w:p>
            <w:pPr>
              <w:pStyle w:val="IEEETableCell"/>
            </w:pPr>
            <w:r>
              <w:t>logistic_regression</w:t>
            </w:r>
          </w:p>
        </w:tc>
        <w:tc>
          <w:tcPr>
            <w:tcW w:type="dxa" w:w="2057"/>
          </w:tcPr>
          <w:p>
            <w:pPr>
              <w:pStyle w:val="IEEETableCell"/>
            </w:pPr>
            <w:r>
              <w:t>0.7327</w:t>
            </w:r>
          </w:p>
        </w:tc>
        <w:tc>
          <w:tcPr>
            <w:tcW w:type="dxa" w:w="2057"/>
          </w:tcPr>
          <w:p>
            <w:pPr>
              <w:pStyle w:val="IEEETableCell"/>
            </w:pPr>
            <w:r>
              <w:t>0.9838</w:t>
            </w:r>
          </w:p>
        </w:tc>
        <w:tc>
          <w:tcPr>
            <w:tcW w:type="dxa" w:w="2057"/>
          </w:tcPr>
          <w:p>
            <w:pPr>
              <w:pStyle w:val="IEEETableCell"/>
            </w:pPr>
            <w:r>
              <w:t>0.7727</w:t>
            </w:r>
          </w:p>
        </w:tc>
        <w:tc>
          <w:tcPr>
            <w:tcW w:type="dxa" w:w="2057"/>
          </w:tcPr>
          <w:p>
            <w:pPr>
              <w:pStyle w:val="IEEETableCell"/>
            </w:pPr>
            <w:r>
              <w:t>0.6891</w:t>
            </w:r>
          </w:p>
        </w:tc>
      </w:tr>
      <w:tr>
        <w:tc>
          <w:tcPr>
            <w:tcW w:type="dxa" w:w="2057"/>
          </w:tcPr>
          <w:p>
            <w:pPr>
              <w:pStyle w:val="IEEETableCell"/>
            </w:pPr>
            <w:r>
              <w:t>isolation_forest</w:t>
            </w:r>
          </w:p>
        </w:tc>
        <w:tc>
          <w:tcPr>
            <w:tcW w:type="dxa" w:w="2057"/>
          </w:tcPr>
          <w:p>
            <w:pPr>
              <w:pStyle w:val="IEEETableCell"/>
            </w:pPr>
            <w:r>
              <w:t>0.0396</w:t>
            </w:r>
          </w:p>
        </w:tc>
        <w:tc>
          <w:tcPr>
            <w:tcW w:type="dxa" w:w="2057"/>
          </w:tcPr>
          <w:p>
            <w:pPr>
              <w:pStyle w:val="IEEETableCell"/>
            </w:pPr>
            <w:r>
              <w:t>0.9492</w:t>
            </w:r>
          </w:p>
        </w:tc>
        <w:tc>
          <w:tcPr>
            <w:tcW w:type="dxa" w:w="2057"/>
          </w:tcPr>
          <w:p>
            <w:pPr>
              <w:pStyle w:val="IEEETableCell"/>
            </w:pPr>
            <w:r>
              <w:t>0.0444</w:t>
            </w:r>
          </w:p>
        </w:tc>
        <w:tc>
          <w:tcPr>
            <w:tcW w:type="dxa" w:w="2057"/>
          </w:tcPr>
          <w:p>
            <w:pPr>
              <w:pStyle w:val="IEEETableCell"/>
            </w:pPr>
            <w:r>
              <w:t>0.5810</w:t>
            </w:r>
          </w:p>
        </w:tc>
      </w:tr>
    </w:tbl>
    <w:p>
      <w:pPr>
        <w:pStyle w:val="IEEEParagraph"/>
      </w:pPr>
      <w:r>
        <w:t>The decisive quantum-architecture experiment compared a global-observable QNN (mean PR-AUC 0.8077, standard deviation 0.073 across 20 seeds) against a local-sum-observable QNN (mean PR-AUC 0.8612, standard deviation 0.051), on an independent, previously-unseen confirmation split. The paired mean delta was +0.0536 PR-AUC, with a 5000-resample bootstrap 95% confidence interval of [+0.0149, +0.0913] that excludes zero, a one-sided Wilcoxon signed-rank p-value of 0.0086, and a sign-flip permutation p-value of 0.0072; the local-sum observable won 13 of the 20 seeds, and the result was not driven by any single outlier seed. Gradient diagnostics, computed directly from the trained circuit at four checkpoints per seed, showed the local-sum observable's gradient norm was consistently smaller and less variable across seeds than the global observable's at every checkpoint -- evidence consistent with reduced optimization variance, not with a change in gradient magnitude that would indicate barren-plateau avoidance.</w:t>
      </w:r>
    </w:p>
    <w:p>
      <w:pPr>
        <w:pStyle w:val="IEEEParagraph"/>
      </w:pPr>
      <w:r>
        <w:t>This architecture-level result was then tested for system-level relevance. Stacking the production XGBoost model with the local-sum QNN's score (via out-of-fold logistic-regression meta-learning) produced a PR-AUC of 0.9665 on the locked confirmation split, against 0.9613 for XGBoost alone (95% bootstrap CI [-0.0035, +0.0173], crossing zero) and 0.9671 for XGBoost stacked with a matched-capacity classical nonlinear control -- the classical control's point estimate exceeded the quantum-augmented ensemble's. Every other quantum architecture evaluated in this project -- QSVM, VQC, Chow-Liu-structured circuits, QBoost, five hybrid fusion architectures, and a quantum-kernel anomaly detector -- likewise failed to establish a statistically supported predictive advantage over its classical counterpart; the anomaly detector's promising small-scale result was found not to replicate when re-tested at a larger, independent scale.</w:t>
      </w:r>
    </w:p>
    <w:p>
      <w:pPr>
        <w:pStyle w:val="IEEEHeading1"/>
      </w:pPr>
      <w:r>
        <w:t>Layer 2: Results</w:t>
      </w:r>
    </w:p>
    <w:p>
      <w:pPr>
        <w:pStyle w:val="IEEETableCaption"/>
      </w:pPr>
      <w:r>
        <w:t>TABLE II</w:t>
      </w:r>
    </w:p>
    <w:p>
      <w:pPr>
        <w:pStyle w:val="IEEETableCaption"/>
      </w:pPr>
      <w:r>
        <w:t>Signature Sizes by Algorithm (bytes)</w:t>
      </w:r>
    </w:p>
    <w:tbl>
      <w:tblPr>
        <w:tblStyle w:val="TableGrid"/>
        <w:tblW w:type="auto" w:w="0"/>
        <w:tblLook w:firstColumn="1" w:firstRow="1" w:lastColumn="0" w:lastRow="0" w:noHBand="0" w:noVBand="1" w:val="04A0"/>
      </w:tblPr>
      <w:tblGrid>
        <w:gridCol w:w="5142"/>
        <w:gridCol w:w="5142"/>
      </w:tblGrid>
      <w:tr>
        <w:tc>
          <w:tcPr>
            <w:tcW w:type="dxa" w:w="5142"/>
          </w:tcPr>
          <w:p>
            <w:pPr>
              <w:pStyle w:val="IEEETableHeaderCentered"/>
            </w:pPr>
            <w:r>
              <w:t>Algorithm</w:t>
            </w:r>
          </w:p>
        </w:tc>
        <w:tc>
          <w:tcPr>
            <w:tcW w:type="dxa" w:w="5142"/>
          </w:tcPr>
          <w:p>
            <w:pPr>
              <w:pStyle w:val="IEEETableHeaderCentered"/>
            </w:pPr>
            <w:r>
              <w:t>Size (bytes)</w:t>
            </w:r>
          </w:p>
        </w:tc>
      </w:tr>
      <w:tr>
        <w:tc>
          <w:tcPr>
            <w:tcW w:type="dxa" w:w="5142"/>
          </w:tcPr>
          <w:p>
            <w:pPr>
              <w:pStyle w:val="IEEETableCell"/>
            </w:pPr>
            <w:r>
              <w:t>RSA-3072-PSS</w:t>
            </w:r>
          </w:p>
        </w:tc>
        <w:tc>
          <w:tcPr>
            <w:tcW w:type="dxa" w:w="5142"/>
          </w:tcPr>
          <w:p>
            <w:pPr>
              <w:pStyle w:val="IEEETableCell"/>
            </w:pPr>
            <w:r>
              <w:t>384</w:t>
            </w:r>
          </w:p>
        </w:tc>
      </w:tr>
      <w:tr>
        <w:tc>
          <w:tcPr>
            <w:tcW w:type="dxa" w:w="5142"/>
          </w:tcPr>
          <w:p>
            <w:pPr>
              <w:pStyle w:val="IEEETableCell"/>
            </w:pPr>
            <w:r>
              <w:t>ECDSA-P256</w:t>
            </w:r>
          </w:p>
        </w:tc>
        <w:tc>
          <w:tcPr>
            <w:tcW w:type="dxa" w:w="5142"/>
          </w:tcPr>
          <w:p>
            <w:pPr>
              <w:pStyle w:val="IEEETableCell"/>
            </w:pPr>
            <w:r>
              <w:t>70</w:t>
            </w:r>
          </w:p>
        </w:tc>
      </w:tr>
      <w:tr>
        <w:tc>
          <w:tcPr>
            <w:tcW w:type="dxa" w:w="5142"/>
          </w:tcPr>
          <w:p>
            <w:pPr>
              <w:pStyle w:val="IEEETableCell"/>
            </w:pPr>
            <w:r>
              <w:t>ML-DSA-65</w:t>
            </w:r>
          </w:p>
        </w:tc>
        <w:tc>
          <w:tcPr>
            <w:tcW w:type="dxa" w:w="5142"/>
          </w:tcPr>
          <w:p>
            <w:pPr>
              <w:pStyle w:val="IEEETableCell"/>
            </w:pPr>
            <w:r>
              <w:t>3309</w:t>
            </w:r>
          </w:p>
        </w:tc>
      </w:tr>
      <w:tr>
        <w:tc>
          <w:tcPr>
            <w:tcW w:type="dxa" w:w="5142"/>
          </w:tcPr>
          <w:p>
            <w:pPr>
              <w:pStyle w:val="IEEETableCell"/>
            </w:pPr>
            <w:r>
              <w:t>SLH-DSA-SHA2-128s</w:t>
            </w:r>
          </w:p>
        </w:tc>
        <w:tc>
          <w:tcPr>
            <w:tcW w:type="dxa" w:w="5142"/>
          </w:tcPr>
          <w:p>
            <w:pPr>
              <w:pStyle w:val="IEEETableCell"/>
            </w:pPr>
            <w:r>
              <w:t>7856</w:t>
            </w:r>
          </w:p>
        </w:tc>
      </w:tr>
    </w:tbl>
    <w:p>
      <w:pPr>
        <w:pStyle w:val="IEEEParagraph"/>
      </w:pPr>
      <w:r>
        <w:t>Post-quantum signatures are substantially larger than their classical counterparts: ML-DSA-65's signature (3309 bytes) is approximately 47 times ECDSA's (70 bytes), and SLH-DSA-SHA2-128s's signature (7856 bytes) is approximately 112 times larger. ML-DSA-65 signing exhibited a genuinely large runtime variance (86 to 1494 milliseconds across 30 repetitions), attributable to the scheme's Fiat-Shamir-with-aborts rejection sampling rather than measurement noise. SLH-DSA signing required approximately 15 seconds per call in this pure-Python implementation -- a cost arising both from the inherent expense of stateless hash-based signatures and the absence of a native, hardware-accelerated implementation in the development environment; this figure should not be generalized to production-grade post-quantum libraries.</w:t>
      </w:r>
    </w:p>
    <w:p>
      <w:pPr>
        <w:pStyle w:val="IEEETableCaption"/>
      </w:pPr>
      <w:r>
        <w:t>TABLE III</w:t>
      </w:r>
    </w:p>
    <w:p>
      <w:pPr>
        <w:pStyle w:val="IEEETableCaption"/>
      </w:pPr>
      <w:r>
        <w:t>BB84 Simulation Results (30 Trials per Condition)</w:t>
      </w:r>
    </w:p>
    <w:tbl>
      <w:tblPr>
        <w:tblStyle w:val="TableGrid"/>
        <w:tblW w:type="auto" w:w="0"/>
        <w:tblLook w:firstColumn="1" w:firstRow="1" w:lastColumn="0" w:lastRow="0" w:noHBand="0" w:noVBand="1" w:val="04A0"/>
      </w:tblPr>
      <w:tblGrid>
        <w:gridCol w:w="3428"/>
        <w:gridCol w:w="3428"/>
        <w:gridCol w:w="3428"/>
      </w:tblGrid>
      <w:tr>
        <w:tc>
          <w:tcPr>
            <w:tcW w:type="dxa" w:w="3428"/>
          </w:tcPr>
          <w:p>
            <w:pPr>
              <w:pStyle w:val="IEEETableHeaderCentered"/>
            </w:pPr>
            <w:r>
              <w:t>condition</w:t>
            </w:r>
          </w:p>
        </w:tc>
        <w:tc>
          <w:tcPr>
            <w:tcW w:type="dxa" w:w="3428"/>
          </w:tcPr>
          <w:p>
            <w:pPr>
              <w:pStyle w:val="IEEETableHeaderCentered"/>
            </w:pPr>
            <w:r>
              <w:t>n_trials</w:t>
            </w:r>
          </w:p>
        </w:tc>
        <w:tc>
          <w:tcPr>
            <w:tcW w:type="dxa" w:w="3428"/>
          </w:tcPr>
          <w:p>
            <w:pPr>
              <w:pStyle w:val="IEEETableHeaderCentered"/>
            </w:pPr>
            <w:r/>
          </w:p>
        </w:tc>
      </w:tr>
      <w:tr>
        <w:tc>
          <w:tcPr>
            <w:tcW w:type="dxa" w:w="3428"/>
          </w:tcPr>
          <w:p>
            <w:pPr>
              <w:pStyle w:val="IEEETableCell"/>
            </w:pPr>
            <w:r>
              <w:t>clean</w:t>
            </w:r>
          </w:p>
        </w:tc>
        <w:tc>
          <w:tcPr>
            <w:tcW w:type="dxa" w:w="3428"/>
          </w:tcPr>
          <w:p>
            <w:pPr>
              <w:pStyle w:val="IEEETableCell"/>
            </w:pPr>
            <w:r>
              <w:t>30</w:t>
            </w:r>
          </w:p>
        </w:tc>
        <w:tc>
          <w:tcPr>
            <w:tcW w:type="dxa" w:w="3428"/>
          </w:tcPr>
          <w:p>
            <w:pPr>
              <w:pStyle w:val="IEEETableCell"/>
            </w:pPr>
            <w:r/>
          </w:p>
        </w:tc>
      </w:tr>
      <w:tr>
        <w:tc>
          <w:tcPr>
            <w:tcW w:type="dxa" w:w="3428"/>
          </w:tcPr>
          <w:p>
            <w:pPr>
              <w:pStyle w:val="IEEETableCell"/>
            </w:pPr>
            <w:r>
              <w:t>noise_1pct</w:t>
            </w:r>
          </w:p>
        </w:tc>
        <w:tc>
          <w:tcPr>
            <w:tcW w:type="dxa" w:w="3428"/>
          </w:tcPr>
          <w:p>
            <w:pPr>
              <w:pStyle w:val="IEEETableCell"/>
            </w:pPr>
            <w:r>
              <w:t>30</w:t>
            </w:r>
          </w:p>
        </w:tc>
        <w:tc>
          <w:tcPr>
            <w:tcW w:type="dxa" w:w="3428"/>
          </w:tcPr>
          <w:p>
            <w:pPr>
              <w:pStyle w:val="IEEETableCell"/>
            </w:pPr>
            <w:r/>
          </w:p>
        </w:tc>
      </w:tr>
      <w:tr>
        <w:tc>
          <w:tcPr>
            <w:tcW w:type="dxa" w:w="3428"/>
          </w:tcPr>
          <w:p>
            <w:pPr>
              <w:pStyle w:val="IEEETableCell"/>
            </w:pPr>
            <w:r>
              <w:t>noise_5pct</w:t>
            </w:r>
          </w:p>
        </w:tc>
        <w:tc>
          <w:tcPr>
            <w:tcW w:type="dxa" w:w="3428"/>
          </w:tcPr>
          <w:p>
            <w:pPr>
              <w:pStyle w:val="IEEETableCell"/>
            </w:pPr>
            <w:r>
              <w:t>30</w:t>
            </w:r>
          </w:p>
        </w:tc>
        <w:tc>
          <w:tcPr>
            <w:tcW w:type="dxa" w:w="3428"/>
          </w:tcPr>
          <w:p>
            <w:pPr>
              <w:pStyle w:val="IEEETableCell"/>
            </w:pPr>
            <w:r/>
          </w:p>
        </w:tc>
      </w:tr>
      <w:tr>
        <w:tc>
          <w:tcPr>
            <w:tcW w:type="dxa" w:w="3428"/>
          </w:tcPr>
          <w:p>
            <w:pPr>
              <w:pStyle w:val="IEEETableCell"/>
            </w:pPr>
            <w:r>
              <w:t>noise_10pct</w:t>
            </w:r>
          </w:p>
        </w:tc>
        <w:tc>
          <w:tcPr>
            <w:tcW w:type="dxa" w:w="3428"/>
          </w:tcPr>
          <w:p>
            <w:pPr>
              <w:pStyle w:val="IEEETableCell"/>
            </w:pPr>
            <w:r>
              <w:t>30</w:t>
            </w:r>
          </w:p>
        </w:tc>
        <w:tc>
          <w:tcPr>
            <w:tcW w:type="dxa" w:w="3428"/>
          </w:tcPr>
          <w:p>
            <w:pPr>
              <w:pStyle w:val="IEEETableCell"/>
            </w:pPr>
            <w:r/>
          </w:p>
        </w:tc>
      </w:tr>
      <w:tr>
        <w:tc>
          <w:tcPr>
            <w:tcW w:type="dxa" w:w="3428"/>
          </w:tcPr>
          <w:p>
            <w:pPr>
              <w:pStyle w:val="IEEETableCell"/>
            </w:pPr>
            <w:r>
              <w:t>eve_intercept_resend</w:t>
            </w:r>
          </w:p>
        </w:tc>
        <w:tc>
          <w:tcPr>
            <w:tcW w:type="dxa" w:w="3428"/>
          </w:tcPr>
          <w:p>
            <w:pPr>
              <w:pStyle w:val="IEEETableCell"/>
            </w:pPr>
            <w:r>
              <w:t>30</w:t>
            </w:r>
          </w:p>
        </w:tc>
        <w:tc>
          <w:tcPr>
            <w:tcW w:type="dxa" w:w="3428"/>
          </w:tcPr>
          <w:p>
            <w:pPr>
              <w:pStyle w:val="IEEETableCell"/>
            </w:pPr>
            <w:r/>
          </w:p>
        </w:tc>
      </w:tr>
      <w:tr>
        <w:tc>
          <w:tcPr>
            <w:tcW w:type="dxa" w:w="3428"/>
          </w:tcPr>
          <w:p>
            <w:pPr>
              <w:pStyle w:val="IEEETableCell"/>
            </w:pPr>
            <w:r>
              <w:t>eve_and_noise_2pct</w:t>
            </w:r>
          </w:p>
        </w:tc>
        <w:tc>
          <w:tcPr>
            <w:tcW w:type="dxa" w:w="3428"/>
          </w:tcPr>
          <w:p>
            <w:pPr>
              <w:pStyle w:val="IEEETableCell"/>
            </w:pPr>
            <w:r>
              <w:t>30</w:t>
            </w:r>
          </w:p>
        </w:tc>
        <w:tc>
          <w:tcPr>
            <w:tcW w:type="dxa" w:w="3428"/>
          </w:tcPr>
          <w:p>
            <w:pPr>
              <w:pStyle w:val="IEEETableCell"/>
            </w:pPr>
            <w:r/>
          </w:p>
        </w:tc>
      </w:tr>
    </w:tbl>
    <w:p>
      <w:pPr>
        <w:pStyle w:val="IEEEParagraph"/>
      </w:pPr>
      <w:r>
        <w:t>Measured quantum bit error rate tracked injected channel noise closely across all tested conditions, and an intercept-resend eavesdropper was correctly detected in all 30 trials at the standard 11% acceptance threshold, with measured error rates near the textbook-predicted 25% for this attack. This is a software simulation of BB84's information-theoretic structure; it constitutes no claim of physical quantum-key-distribution security.</w:t>
      </w:r>
    </w:p>
    <w:p>
      <w:pPr>
        <w:pStyle w:val="IEEEHeading1"/>
      </w:pPr>
      <w:r>
        <w:t>Layer 1-to-Layer 2 Integration</w:t>
      </w:r>
    </w:p>
    <w:p>
      <w:pPr>
        <w:pStyle w:val="IEEETableCaption"/>
      </w:pPr>
      <w:r>
        <w:t>TABLE IV</w:t>
      </w:r>
    </w:p>
    <w:p>
      <w:pPr>
        <w:pStyle w:val="IEEETableCaption"/>
      </w:pPr>
      <w:r>
        <w:t>Routing Policy Ablation (Production Test Fold, n=55,133)</w:t>
      </w:r>
    </w:p>
    <w:tbl>
      <w:tblPr>
        <w:tblStyle w:val="TableGrid"/>
        <w:tblW w:type="auto" w:w="0"/>
        <w:tblLook w:firstColumn="1" w:firstRow="1" w:lastColumn="0" w:lastRow="0" w:noHBand="0" w:noVBand="1" w:val="04A0"/>
      </w:tblPr>
      <w:tblGrid>
        <w:gridCol w:w="2571"/>
        <w:gridCol w:w="2571"/>
        <w:gridCol w:w="2571"/>
        <w:gridCol w:w="2571"/>
      </w:tblGrid>
      <w:tr>
        <w:tc>
          <w:tcPr>
            <w:tcW w:type="dxa" w:w="2571"/>
          </w:tcPr>
          <w:p>
            <w:pPr>
              <w:pStyle w:val="IEEETableHeaderCentered"/>
            </w:pPr>
            <w:r>
              <w:t>policy</w:t>
            </w:r>
          </w:p>
        </w:tc>
        <w:tc>
          <w:tcPr>
            <w:tcW w:type="dxa" w:w="2571"/>
          </w:tcPr>
          <w:p>
            <w:pPr>
              <w:pStyle w:val="IEEETableHeaderCentered"/>
            </w:pPr>
            <w:r>
              <w:t>security_escalation_rate</w:t>
            </w:r>
          </w:p>
        </w:tc>
        <w:tc>
          <w:tcPr>
            <w:tcW w:type="dxa" w:w="2571"/>
          </w:tcPr>
          <w:p>
            <w:pPr>
              <w:pStyle w:val="IEEETableHeaderCentered"/>
            </w:pPr>
            <w:r>
              <w:t>fraud_weighted_coverage</w:t>
            </w:r>
          </w:p>
        </w:tc>
        <w:tc>
          <w:tcPr>
            <w:tcW w:type="dxa" w:w="2571"/>
          </w:tcPr>
          <w:p>
            <w:pPr>
              <w:pStyle w:val="IEEETableHeaderCentered"/>
            </w:pPr>
            <w:r>
              <w:t>benign_escalation_rate</w:t>
            </w:r>
          </w:p>
        </w:tc>
      </w:tr>
      <w:tr>
        <w:tc>
          <w:tcPr>
            <w:tcW w:type="dxa" w:w="2571"/>
          </w:tcPr>
          <w:p>
            <w:pPr>
              <w:pStyle w:val="IEEETableCell"/>
            </w:pPr>
            <w:r>
              <w:t>A_categorical</w:t>
            </w:r>
          </w:p>
        </w:tc>
        <w:tc>
          <w:tcPr>
            <w:tcW w:type="dxa" w:w="2571"/>
          </w:tcPr>
          <w:p>
            <w:pPr>
              <w:pStyle w:val="IEEETableCell"/>
            </w:pPr>
            <w:r>
              <w:t>0.0011</w:t>
            </w:r>
          </w:p>
        </w:tc>
        <w:tc>
          <w:tcPr>
            <w:tcW w:type="dxa" w:w="2571"/>
          </w:tcPr>
          <w:p>
            <w:pPr>
              <w:pStyle w:val="IEEETableCell"/>
            </w:pPr>
            <w:r>
              <w:t>0.7432</w:t>
            </w:r>
          </w:p>
        </w:tc>
        <w:tc>
          <w:tcPr>
            <w:tcW w:type="dxa" w:w="2571"/>
          </w:tcPr>
          <w:p>
            <w:pPr>
              <w:pStyle w:val="IEEETableCell"/>
            </w:pPr>
            <w:r>
              <w:t>0.0001</w:t>
            </w:r>
          </w:p>
        </w:tc>
      </w:tr>
      <w:tr>
        <w:tc>
          <w:tcPr>
            <w:tcW w:type="dxa" w:w="2571"/>
          </w:tcPr>
          <w:p>
            <w:pPr>
              <w:pStyle w:val="IEEETableCell"/>
            </w:pPr>
            <w:r>
              <w:t>B_continuous</w:t>
            </w:r>
          </w:p>
        </w:tc>
        <w:tc>
          <w:tcPr>
            <w:tcW w:type="dxa" w:w="2571"/>
          </w:tcPr>
          <w:p>
            <w:pPr>
              <w:pStyle w:val="IEEETableCell"/>
            </w:pPr>
            <w:r>
              <w:t>0.0011</w:t>
            </w:r>
          </w:p>
        </w:tc>
        <w:tc>
          <w:tcPr>
            <w:tcW w:type="dxa" w:w="2571"/>
          </w:tcPr>
          <w:p>
            <w:pPr>
              <w:pStyle w:val="IEEETableCell"/>
            </w:pPr>
            <w:r>
              <w:t>0.7432</w:t>
            </w:r>
          </w:p>
        </w:tc>
        <w:tc>
          <w:tcPr>
            <w:tcW w:type="dxa" w:w="2571"/>
          </w:tcPr>
          <w:p>
            <w:pPr>
              <w:pStyle w:val="IEEETableCell"/>
            </w:pPr>
            <w:r>
              <w:t>0.0001</w:t>
            </w:r>
          </w:p>
        </w:tc>
      </w:tr>
      <w:tr>
        <w:tc>
          <w:tcPr>
            <w:tcW w:type="dxa" w:w="2571"/>
          </w:tcPr>
          <w:p>
            <w:pPr>
              <w:pStyle w:val="IEEETableCell"/>
            </w:pPr>
            <w:r>
              <w:t>C_anomaly_assisted</w:t>
            </w:r>
          </w:p>
        </w:tc>
        <w:tc>
          <w:tcPr>
            <w:tcW w:type="dxa" w:w="2571"/>
          </w:tcPr>
          <w:p>
            <w:pPr>
              <w:pStyle w:val="IEEETableCell"/>
            </w:pPr>
            <w:r>
              <w:t>0.0015</w:t>
            </w:r>
          </w:p>
        </w:tc>
        <w:tc>
          <w:tcPr>
            <w:tcW w:type="dxa" w:w="2571"/>
          </w:tcPr>
          <w:p>
            <w:pPr>
              <w:pStyle w:val="IEEETableCell"/>
            </w:pPr>
            <w:r>
              <w:t>0.7432</w:t>
            </w:r>
          </w:p>
        </w:tc>
        <w:tc>
          <w:tcPr>
            <w:tcW w:type="dxa" w:w="2571"/>
          </w:tcPr>
          <w:p>
            <w:pPr>
              <w:pStyle w:val="IEEETableCell"/>
            </w:pPr>
            <w:r>
              <w:t>0.0005</w:t>
            </w:r>
          </w:p>
        </w:tc>
      </w:tr>
    </w:tbl>
    <w:p>
      <w:pPr>
        <w:pStyle w:val="IEEEParagraph"/>
      </w:pPr>
      <w:r>
        <w:t>Categorical (risk-level) and continuous (probability-based) routing produced behaviorally identical results on this dataset. Augmenting routing with the existing classical anomaly detector's score added no additional fraud coverage while increasing benign escalation approximately fivefold. Augmenting routing with a quantum-derived classical/quantum disagreement signal, evaluated on its own appropriately scoped sample, increased fraud coverage by only 1.33 percentage points (1 additional fraud case) while increasing benign escalation by a factor of 16.0, decisively failing the pre-specified cost budget for this experiment.</w:t>
      </w:r>
    </w:p>
    <w:p>
      <w:pPr>
        <w:pStyle w:val="IEEEHeading1"/>
      </w:pPr>
      <w:r>
        <w:t>Scientific Contribution</w:t>
      </w:r>
    </w:p>
    <w:p>
      <w:pPr>
        <w:pStyle w:val="IEEEParagraph"/>
      </w:pPr>
      <w:r>
        <w:t>This project's contribution is not claimed as the first system to combine fraud detection with post-quantum or quantum-key-distribution research. Its contribution is methodological: a statistically rigorous, pre-specified, and negative-result-preserving investigation connecting quantum circuit design, classical machine learning, standardized post-quantum cryptography, and simulated quantum-key distribution as sequential decision layers, with every claim traced to a specific measured artifact.</w:t>
      </w:r>
    </w:p>
    <w:p>
      <w:pPr>
        <w:pStyle w:val="IEEEHeading1"/>
      </w:pPr>
      <w:r>
        <w:t>Negative Results</w:t>
      </w:r>
    </w:p>
    <w:p>
      <w:pPr>
        <w:pStyle w:val="IEEEParagraph"/>
      </w:pPr>
      <w:r>
        <w:t>The following negative and null findings are reported with the same rigor as positive results: no quantum model or quantum-inclusive hybrid beats its matched classical counterpart anywhere in this project; the Chow-Liu structural circuit benefit is qubit-count dependent against a matched-sparsity control; neither QBoost solver beats classical boosting; the quantum anomaly detector's advantage did not replicate at scale; categorical and continuous security routing are behaviorally identical on the tested dataset; and neither anomaly-assisted nor quantum-assisted routing clears its pre-specified cost budget.</w:t>
      </w:r>
    </w:p>
    <w:p>
      <w:pPr>
        <w:pStyle w:val="IEEEHeading1"/>
      </w:pPr>
      <w:r>
        <w:t>Threats to Validity and Limitations</w:t>
      </w:r>
    </w:p>
    <w:p>
      <w:pPr>
        <w:pStyle w:val="IEEEParagraph"/>
      </w:pPr>
      <w:r>
        <w:t>This project's quantum experiments operate on a small, rebalanced controlled subset relative to the full production dataset. Post-quantum cryptography benchmarks reflect a pure-Python implementation, not a production-grade native library, and should not be generalized as representative of deployed system performance. No web dashboard, API layer, or concurrency/load testing exists. The integration experiment's null and negative findings were measured on a single dataset and threshold configuration. One of the three supplied project reference documents could not be read due to being a scanned, image-only file.</w:t>
      </w:r>
    </w:p>
    <w:p>
      <w:pPr>
        <w:pStyle w:val="IEEEHeading1"/>
      </w:pPr>
      <w:r>
        <w:t>Future Work: Layer 3</w:t>
      </w:r>
    </w:p>
    <w:p>
      <w:pPr>
        <w:pStyle w:val="IEEEParagraph"/>
      </w:pPr>
      <w:r>
        <w:t>A third layer, addressing classical attacks (man-in-the-middle, replay, brute-force, adversarial machine-learning evasion and poisoning) and quantum attacks (Shor's and Grover's algorithms), remains unimplemented future work. No claim is made in this project that real-world RSA, ECC, or AES have been broken; any future demonstration of Shor's or Grover's algorithms would necessarily operate on illustrative, non-production key sizes, and this distinction must be preserved explicitly in that future work.</w:t>
      </w:r>
    </w:p>
    <w:p>
      <w:pPr>
        <w:pStyle w:val="IEEEHeading1"/>
      </w:pPr>
      <w:r>
        <w:t>Conclusion</w:t>
      </w:r>
    </w:p>
    <w:p>
      <w:pPr>
        <w:pStyle w:val="IEEEParagraph"/>
      </w:pPr>
      <w:r>
        <w:t>This project demonstrates a statistically supported, architecture-level quantum machine learning finding (observable locality improves a matched quantum circuit's trainability and standalone performance) alongside equally rigorous evidence that this finding does not extend to a system-level predictive or operational advantage over strong classical methods, in either fraud detection or risk-adaptive security routing. A working, tested, and benchmarked classical and post-quantum cryptographic security layer, integrated with fraud intelligence through an auditable, model-agnostic contract, is delivered alongside this evidence. No claim of quantum advantage or quantum supremacy is made; all conclusions are scoped exactly to their supporting evidence.</w:t>
      </w:r>
    </w:p>
    <w:p>
      <w:pPr>
        <w:pStyle w:val="IEEEHeading1"/>
      </w:pPr>
      <w:r>
        <w:t>References</w:t>
      </w:r>
    </w:p>
    <w:p>
      <w:pPr>
        <w:pStyle w:val="IEEEReferenceItem"/>
      </w:pPr>
      <w:r>
        <w:t>Pérez-Salinas, A., Cervera-Lierta, A., Gil-Fuster, E., &amp; Latorre, J. I. (2020). Data re-uploading for a</w:t>
      </w:r>
    </w:p>
    <w:p>
      <w:pPr>
        <w:pStyle w:val="IEEEReferenceItem"/>
      </w:pPr>
      <w:r>
        <w:t>Grant, E., Wossnig, L., Ostaszewski, M., &amp; Benedetti, M. (2019). An initialization strategy for addressing</w:t>
      </w:r>
    </w:p>
    <w:p>
      <w:pPr>
        <w:pStyle w:val="IEEEReferenceItem"/>
      </w:pPr>
      <w:r>
        <w:t>Cerezo, M., Sone, A., Volkoff, T., Cincio, L., &amp; Coles, P. J. (2021). Cost function dependent barren plateaus</w:t>
      </w:r>
    </w:p>
    <w:p>
      <w:pPr>
        <w:pStyle w:val="IEEEReferenceItem"/>
      </w:pPr>
      <w:r>
        <w:t>Kyriienko, O., &amp; Magnusson, E. B. (2022). Unsupervised quantum machine learning for fraud detection.</w:t>
      </w:r>
    </w:p>
    <w:p>
      <w:pPr>
        <w:pStyle w:val="IEEEReferenceItem"/>
      </w:pPr>
      <w:r>
        <w:t>(Project-supplied reference paper) Toward Practical Quantum Machine Learning: A Novel Hybrid Quantum LSTM for</w:t>
      </w:r>
    </w:p>
    <w:p>
      <w:pPr>
        <w:pStyle w:val="IEEEReferenceItem"/>
      </w:pPr>
      <w:r>
        <w:t>National Institute of Standards and Technology. (2024). FIPS 203: Module-Lattice-Based Key-Encapsulation</w:t>
      </w:r>
    </w:p>
    <w:p>
      <w:pPr>
        <w:pStyle w:val="IEEEReferenceItem"/>
      </w:pPr>
      <w:r>
        <w:t>National Institute of Standards and Technology. (2024). FIPS 204: Module-Lattice-Based Digital Signature</w:t>
      </w:r>
    </w:p>
    <w:p>
      <w:pPr>
        <w:pStyle w:val="IEEEReferenceItem"/>
      </w:pPr>
      <w:r>
        <w:t>National Institute of Standards and Technology. (2024). FIPS 205: Stateless Hash-Based Digital Signature</w:t>
      </w:r>
    </w:p>
    <w:p>
      <w:pPr>
        <w:pStyle w:val="IEEEReferenceItem"/>
      </w:pPr>
      <w:r>
        <w:t>Bennett, C. H., &amp; Brassard, G. (1984). Quantum cryptography: Public key distribution and coin tossing.</w:t>
      </w:r>
    </w:p>
    <w:p>
      <w:pPr>
        <w:pStyle w:val="IEEEReferenceItem"/>
      </w:pPr>
      <w:r>
        <w:t>Pope, G. Kyber-py (pure-Python ML-KEM implementation). https://github.com/GiacomoPope/kyber-py</w:t>
      </w:r>
    </w:p>
    <w:p>
      <w:pPr>
        <w:pStyle w:val="IEEEReferenceItem"/>
      </w:pPr>
      <w:r>
        <w:t>Pope, G. Dilithium-py (pure-Python ML-DSA implementation). https://github.com/GiacomoPope/dilithium-py</w:t>
      </w:r>
    </w:p>
    <w:p>
      <w:pPr>
        <w:pStyle w:val="IEEEReferenceItem"/>
      </w:pPr>
      <w:r>
        <w:t>Xu, C. SLH-DSA (pure-Python SLH-DSA implementation). https://github.com/colinxu2020/slhdsa</w:t>
      </w:r>
    </w:p>
    <w:p>
      <w:pPr>
        <w:pStyle w:val="IEEEReferenceItem"/>
      </w:pPr>
      <w:r>
        <w:t>Quantum-secure Financial Platform (project pitch document, supplied by the user).</w:t>
      </w:r>
    </w:p>
    <w:p>
      <w:pPr>
        <w:pStyle w:val="IEEEReferenceItem"/>
      </w:pPr>
      <w:r>
        <w:t>Quantum_Secure_Fraud_Detection_System_SRS (project SRS, authored by Shreyansh Jaiswal, Abhishek Chaubey,</w:t>
      </w:r>
    </w:p>
    <w:p>
      <w:pPr>
        <w:pStyle w:val="IEEEReferenceItem"/>
      </w:pPr>
      <w:r>
        <w:t>Github repos 7th Sem Project (project reference-repository document) — **unreadable in every supplied copy**</w:t>
      </w:r>
    </w:p>
    <w:sectPr w:rsidR="00877D4C" w:rsidRPr="0003296C" w:rsidSect="00E06664">
      <w:type w:val="continuous"/>
      <w:pgSz w:w="11906" w:h="16838"/>
      <w:pgMar w:top="1077" w:right="811" w:bottom="2438" w:left="811" w:header="709" w:footer="709" w:gutter="0"/>
      <w:cols w:num="2" w:space="23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A6A6D830"/>
    <w:lvl w:ilvl="0">
      <w:start w:val="1"/>
      <w:numFmt w:val="decimal"/>
      <w:lvlText w:val="[%1]"/>
      <w:lvlJc w:val="left"/>
      <w:pPr>
        <w:tabs>
          <w:tab w:val="num" w:pos="643"/>
        </w:tabs>
        <w:ind w:left="643" w:hanging="360"/>
      </w:pPr>
      <w:rPr>
        <w:rFonts w:hint="default"/>
      </w:rPr>
    </w:lvl>
  </w:abstractNum>
  <w:abstractNum w:abstractNumId="1" w15:restartNumberingAfterBreak="0">
    <w:nsid w:val="0228720A"/>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2D3103A"/>
    <w:multiLevelType w:val="multilevel"/>
    <w:tmpl w:val="4F0CE718"/>
    <w:lvl w:ilvl="0">
      <w:start w:val="1"/>
      <w:numFmt w:val="decimal"/>
      <w:suff w:val="space"/>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4D17172"/>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08F95CD1"/>
    <w:multiLevelType w:val="multilevel"/>
    <w:tmpl w:val="5C5A6CA8"/>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C041A38"/>
    <w:multiLevelType w:val="multilevel"/>
    <w:tmpl w:val="00DEC102"/>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D3D0BD5"/>
    <w:multiLevelType w:val="multilevel"/>
    <w:tmpl w:val="848C60F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D5470D7"/>
    <w:multiLevelType w:val="multilevel"/>
    <w:tmpl w:val="1A4C29C6"/>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F166FED"/>
    <w:multiLevelType w:val="multilevel"/>
    <w:tmpl w:val="850A4502"/>
    <w:lvl w:ilvl="0">
      <w:start w:val="1"/>
      <w:numFmt w:val="upperRoman"/>
      <w:lvlText w:val="%1."/>
      <w:lvlJc w:val="right"/>
      <w:pPr>
        <w:tabs>
          <w:tab w:val="num" w:pos="288"/>
        </w:tabs>
        <w:ind w:left="288"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126677AE"/>
    <w:multiLevelType w:val="multilevel"/>
    <w:tmpl w:val="842C0658"/>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2" w15:restartNumberingAfterBreak="0">
    <w:nsid w:val="1378069A"/>
    <w:multiLevelType w:val="multilevel"/>
    <w:tmpl w:val="376A5D80"/>
    <w:lvl w:ilvl="0">
      <w:start w:val="1"/>
      <w:numFmt w:val="upperLetter"/>
      <w:lvlText w:val="%1."/>
      <w:lvlJc w:val="left"/>
      <w:pPr>
        <w:tabs>
          <w:tab w:val="num" w:pos="216"/>
        </w:tabs>
        <w:ind w:left="21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3FF5B9E"/>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1ABC526C"/>
    <w:multiLevelType w:val="multilevel"/>
    <w:tmpl w:val="8E76E9E2"/>
    <w:lvl w:ilvl="0">
      <w:start w:val="1"/>
      <w:numFmt w:val="bullet"/>
      <w:lvlText w:val=""/>
      <w:lvlJc w:val="left"/>
      <w:pPr>
        <w:tabs>
          <w:tab w:val="num" w:pos="360"/>
        </w:tabs>
        <w:ind w:left="360" w:hanging="360"/>
      </w:pPr>
      <w:rPr>
        <w:rFonts w:ascii="Times New Roman" w:hAnsi="Times New Roman" w:cs="Times New Roman" w:hint="default"/>
        <w:b w:val="0"/>
        <w:i w:val="0"/>
        <w:sz w:val="20"/>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25C54037"/>
    <w:multiLevelType w:val="multilevel"/>
    <w:tmpl w:val="1EB0C610"/>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B068EF"/>
    <w:multiLevelType w:val="multilevel"/>
    <w:tmpl w:val="0642711A"/>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7" w15:restartNumberingAfterBreak="0">
    <w:nsid w:val="283F32F7"/>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9" w15:restartNumberingAfterBreak="0">
    <w:nsid w:val="301558E7"/>
    <w:multiLevelType w:val="multilevel"/>
    <w:tmpl w:val="5540DDB8"/>
    <w:lvl w:ilvl="0">
      <w:start w:val="1"/>
      <w:numFmt w:val="decimal"/>
      <w:suff w:val="nothing"/>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0" w15:restartNumberingAfterBreak="0">
    <w:nsid w:val="328273D7"/>
    <w:multiLevelType w:val="multilevel"/>
    <w:tmpl w:val="9C8E938C"/>
    <w:numStyleLink w:val="IEEEBullet1"/>
  </w:abstractNum>
  <w:abstractNum w:abstractNumId="21" w15:restartNumberingAfterBreak="0">
    <w:nsid w:val="34B07CB4"/>
    <w:multiLevelType w:val="multilevel"/>
    <w:tmpl w:val="1E3A134A"/>
    <w:lvl w:ilvl="0">
      <w:start w:val="1"/>
      <w:numFmt w:val="upperRoman"/>
      <w:lvlText w:val="%1."/>
      <w:lvlJc w:val="left"/>
      <w:pPr>
        <w:tabs>
          <w:tab w:val="num" w:pos="504"/>
        </w:tabs>
        <w:ind w:left="504"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7A200C6"/>
    <w:multiLevelType w:val="multilevel"/>
    <w:tmpl w:val="9C8E938C"/>
    <w:numStyleLink w:val="IEEEBullet1"/>
  </w:abstractNum>
  <w:abstractNum w:abstractNumId="23" w15:restartNumberingAfterBreak="0">
    <w:nsid w:val="37FA2940"/>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0D57A98"/>
    <w:multiLevelType w:val="multilevel"/>
    <w:tmpl w:val="1286F25C"/>
    <w:lvl w:ilvl="0">
      <w:start w:val="1"/>
      <w:numFmt w:val="upperRoman"/>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41807ECF"/>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1FF1343"/>
    <w:multiLevelType w:val="multilevel"/>
    <w:tmpl w:val="CA5008E4"/>
    <w:lvl w:ilvl="0">
      <w:start w:val="1"/>
      <w:numFmt w:val="decimal"/>
      <w:suff w:val="space"/>
      <w:lvlText w:val="[%1]"/>
      <w:lvlJc w:val="left"/>
      <w:pPr>
        <w:ind w:left="288" w:hanging="288"/>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7" w15:restartNumberingAfterBreak="0">
    <w:nsid w:val="4366657E"/>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9" w15:restartNumberingAfterBreak="0">
    <w:nsid w:val="4CF21919"/>
    <w:multiLevelType w:val="multilevel"/>
    <w:tmpl w:val="D908C808"/>
    <w:lvl w:ilvl="0">
      <w:start w:val="1"/>
      <w:numFmt w:val="decimal"/>
      <w:lvlText w:val="%1)"/>
      <w:lvlJc w:val="left"/>
      <w:pPr>
        <w:tabs>
          <w:tab w:val="num" w:pos="216"/>
        </w:tabs>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0" w15:restartNumberingAfterBreak="0">
    <w:nsid w:val="4F0A0856"/>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1590241"/>
    <w:multiLevelType w:val="multilevel"/>
    <w:tmpl w:val="9C62DC70"/>
    <w:lvl w:ilvl="0">
      <w:start w:val="1"/>
      <w:numFmt w:val="decimal"/>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3" w15:restartNumberingAfterBreak="0">
    <w:nsid w:val="53BC2548"/>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54A2257E"/>
    <w:multiLevelType w:val="multilevel"/>
    <w:tmpl w:val="AD807452"/>
    <w:lvl w:ilvl="0">
      <w:start w:val="1"/>
      <w:numFmt w:val="upperRoman"/>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A71AA9"/>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AAF2D51"/>
    <w:multiLevelType w:val="multilevel"/>
    <w:tmpl w:val="C994D254"/>
    <w:lvl w:ilvl="0">
      <w:start w:val="1"/>
      <w:numFmt w:val="upperRoman"/>
      <w:lvlText w:val="%1."/>
      <w:lvlJc w:val="center"/>
      <w:pPr>
        <w:tabs>
          <w:tab w:val="num" w:pos="576"/>
        </w:tabs>
        <w:ind w:left="57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B894DCE"/>
    <w:multiLevelType w:val="multilevel"/>
    <w:tmpl w:val="06262128"/>
    <w:lvl w:ilvl="0">
      <w:start w:val="1"/>
      <w:numFmt w:val="upperRoman"/>
      <w:lvlText w:val="%1."/>
      <w:lvlJc w:val="center"/>
      <w:pPr>
        <w:tabs>
          <w:tab w:val="num" w:pos="504"/>
        </w:tabs>
        <w:ind w:left="504" w:hanging="14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607B06C9"/>
    <w:multiLevelType w:val="multilevel"/>
    <w:tmpl w:val="3828D25C"/>
    <w:lvl w:ilvl="0">
      <w:start w:val="1"/>
      <w:numFmt w:val="upperRoman"/>
      <w:lvlText w:val="%1."/>
      <w:lvlJc w:val="left"/>
      <w:pPr>
        <w:tabs>
          <w:tab w:val="num" w:pos="504"/>
        </w:tabs>
        <w:ind w:left="504" w:hanging="50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9" w15:restartNumberingAfterBreak="0">
    <w:nsid w:val="67C66B6D"/>
    <w:multiLevelType w:val="multilevel"/>
    <w:tmpl w:val="62BAD17C"/>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720"/>
        </w:tabs>
        <w:ind w:left="720" w:hanging="432"/>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0" w15:restartNumberingAfterBreak="0">
    <w:nsid w:val="6A4705E7"/>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2" w15:restartNumberingAfterBreak="0">
    <w:nsid w:val="6BFC6865"/>
    <w:multiLevelType w:val="multilevel"/>
    <w:tmpl w:val="9C8E938C"/>
    <w:numStyleLink w:val="IEEEBullet1"/>
  </w:abstractNum>
  <w:abstractNum w:abstractNumId="43" w15:restartNumberingAfterBreak="0">
    <w:nsid w:val="70996FC9"/>
    <w:multiLevelType w:val="multilevel"/>
    <w:tmpl w:val="B058D2D4"/>
    <w:lvl w:ilvl="0">
      <w:start w:val="1"/>
      <w:numFmt w:val="upperRoman"/>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4" w15:restartNumberingAfterBreak="0">
    <w:nsid w:val="7230658B"/>
    <w:multiLevelType w:val="multilevel"/>
    <w:tmpl w:val="53844C2A"/>
    <w:lvl w:ilvl="0">
      <w:start w:val="1"/>
      <w:numFmt w:val="upperRoman"/>
      <w:lvlText w:val="%1."/>
      <w:lvlJc w:val="center"/>
      <w:pPr>
        <w:tabs>
          <w:tab w:val="num" w:pos="432"/>
        </w:tabs>
        <w:ind w:left="432" w:hanging="7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75434BE1"/>
    <w:multiLevelType w:val="multilevel"/>
    <w:tmpl w:val="21FE80A4"/>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936"/>
        </w:tabs>
        <w:ind w:left="936" w:hanging="57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7F9B35D5"/>
    <w:multiLevelType w:val="multilevel"/>
    <w:tmpl w:val="924E5DBA"/>
    <w:lvl w:ilvl="0">
      <w:start w:val="1"/>
      <w:numFmt w:val="upperLetter"/>
      <w:lvlText w:val="%1."/>
      <w:lvlJc w:val="left"/>
      <w:pPr>
        <w:tabs>
          <w:tab w:val="num" w:pos="288"/>
        </w:tabs>
        <w:ind w:left="288" w:hanging="288"/>
      </w:pPr>
      <w:rPr>
        <w:rFonts w:ascii="Times" w:eastAsia="Arial Unicode MS" w:hAnsi="Times" w:cs="Times New Roman" w:hint="default"/>
        <w:b w:val="0"/>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22"/>
  </w:num>
  <w:num w:numId="2">
    <w:abstractNumId w:val="34"/>
  </w:num>
  <w:num w:numId="3">
    <w:abstractNumId w:val="44"/>
  </w:num>
  <w:num w:numId="4">
    <w:abstractNumId w:val="4"/>
  </w:num>
  <w:num w:numId="5">
    <w:abstractNumId w:val="22"/>
    <w:lvlOverride w:ilvl="0">
      <w:startOverride w:val="1"/>
    </w:lvlOverride>
  </w:num>
  <w:num w:numId="6">
    <w:abstractNumId w:val="36"/>
  </w:num>
  <w:num w:numId="7">
    <w:abstractNumId w:val="37"/>
  </w:num>
  <w:num w:numId="8">
    <w:abstractNumId w:val="21"/>
  </w:num>
  <w:num w:numId="9">
    <w:abstractNumId w:val="38"/>
  </w:num>
  <w:num w:numId="10">
    <w:abstractNumId w:val="43"/>
  </w:num>
  <w:num w:numId="11">
    <w:abstractNumId w:val="24"/>
  </w:num>
  <w:num w:numId="12">
    <w:abstractNumId w:val="6"/>
  </w:num>
  <w:num w:numId="13">
    <w:abstractNumId w:val="10"/>
  </w:num>
  <w:num w:numId="14">
    <w:abstractNumId w:val="31"/>
  </w:num>
  <w:num w:numId="15">
    <w:abstractNumId w:val="8"/>
  </w:num>
  <w:num w:numId="16">
    <w:abstractNumId w:val="12"/>
  </w:num>
  <w:num w:numId="17">
    <w:abstractNumId w:val="25"/>
  </w:num>
  <w:num w:numId="18">
    <w:abstractNumId w:val="13"/>
  </w:num>
  <w:num w:numId="19">
    <w:abstractNumId w:val="45"/>
  </w:num>
  <w:num w:numId="20">
    <w:abstractNumId w:val="39"/>
  </w:num>
  <w:num w:numId="21">
    <w:abstractNumId w:val="35"/>
  </w:num>
  <w:num w:numId="22">
    <w:abstractNumId w:val="29"/>
  </w:num>
  <w:num w:numId="23">
    <w:abstractNumId w:val="17"/>
  </w:num>
  <w:num w:numId="24">
    <w:abstractNumId w:val="41"/>
  </w:num>
  <w:num w:numId="25">
    <w:abstractNumId w:val="16"/>
  </w:num>
  <w:num w:numId="26">
    <w:abstractNumId w:val="1"/>
  </w:num>
  <w:num w:numId="27">
    <w:abstractNumId w:val="11"/>
  </w:num>
  <w:num w:numId="28">
    <w:abstractNumId w:val="3"/>
  </w:num>
  <w:num w:numId="29">
    <w:abstractNumId w:val="19"/>
  </w:num>
  <w:num w:numId="30">
    <w:abstractNumId w:val="30"/>
  </w:num>
  <w:num w:numId="31">
    <w:abstractNumId w:val="9"/>
  </w:num>
  <w:num w:numId="32">
    <w:abstractNumId w:val="23"/>
  </w:num>
  <w:num w:numId="33">
    <w:abstractNumId w:val="5"/>
  </w:num>
  <w:num w:numId="34">
    <w:abstractNumId w:val="33"/>
  </w:num>
  <w:num w:numId="35">
    <w:abstractNumId w:val="7"/>
  </w:num>
  <w:num w:numId="36">
    <w:abstractNumId w:val="15"/>
  </w:num>
  <w:num w:numId="37">
    <w:abstractNumId w:val="31"/>
  </w:num>
  <w:num w:numId="38">
    <w:abstractNumId w:val="46"/>
  </w:num>
  <w:num w:numId="3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num>
  <w:num w:numId="41">
    <w:abstractNumId w:val="40"/>
  </w:num>
  <w:num w:numId="42">
    <w:abstractNumId w:val="14"/>
  </w:num>
  <w:num w:numId="43">
    <w:abstractNumId w:val="28"/>
  </w:num>
  <w:num w:numId="44">
    <w:abstractNumId w:val="42"/>
  </w:num>
  <w:num w:numId="45">
    <w:abstractNumId w:val="20"/>
  </w:num>
  <w:num w:numId="46">
    <w:abstractNumId w:val="2"/>
  </w:num>
  <w:num w:numId="47">
    <w:abstractNumId w:val="18"/>
  </w:num>
  <w:num w:numId="48">
    <w:abstractNumId w:val="26"/>
  </w:num>
  <w:num w:numId="49">
    <w:abstractNumId w:val="0"/>
  </w:num>
  <w:num w:numId="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AU" w:vendorID="64" w:dllVersion="6" w:nlCheck="1" w:checkStyle="0"/>
  <w:activeWritingStyle w:appName="MSWord" w:lang="en-GB" w:vendorID="64" w:dllVersion="6" w:nlCheck="1" w:checkStyle="0"/>
  <w:activeWritingStyle w:appName="MSWord" w:lang="en-US" w:vendorID="64" w:dllVersion="6" w:nlCheck="1" w:checkStyle="0"/>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FBB"/>
    <w:rsid w:val="000002E1"/>
    <w:rsid w:val="00017719"/>
    <w:rsid w:val="00027F1D"/>
    <w:rsid w:val="0003296C"/>
    <w:rsid w:val="00054421"/>
    <w:rsid w:val="00062E46"/>
    <w:rsid w:val="00074AC8"/>
    <w:rsid w:val="00081408"/>
    <w:rsid w:val="00081EBE"/>
    <w:rsid w:val="00086EDC"/>
    <w:rsid w:val="000B36A3"/>
    <w:rsid w:val="000C013C"/>
    <w:rsid w:val="000E3F84"/>
    <w:rsid w:val="001056DF"/>
    <w:rsid w:val="00114025"/>
    <w:rsid w:val="001160D2"/>
    <w:rsid w:val="001348A5"/>
    <w:rsid w:val="00143553"/>
    <w:rsid w:val="00151B8E"/>
    <w:rsid w:val="00182170"/>
    <w:rsid w:val="001928FB"/>
    <w:rsid w:val="00192BC7"/>
    <w:rsid w:val="001A50EA"/>
    <w:rsid w:val="001F16CD"/>
    <w:rsid w:val="001F47D2"/>
    <w:rsid w:val="0022285A"/>
    <w:rsid w:val="00224C61"/>
    <w:rsid w:val="0027227B"/>
    <w:rsid w:val="00273AC7"/>
    <w:rsid w:val="00273D2C"/>
    <w:rsid w:val="00285ECD"/>
    <w:rsid w:val="00290E1B"/>
    <w:rsid w:val="00291B17"/>
    <w:rsid w:val="002A6742"/>
    <w:rsid w:val="002C1A7F"/>
    <w:rsid w:val="002C4239"/>
    <w:rsid w:val="002C559D"/>
    <w:rsid w:val="002D2D42"/>
    <w:rsid w:val="002F72D0"/>
    <w:rsid w:val="003003AB"/>
    <w:rsid w:val="00311C49"/>
    <w:rsid w:val="0032119E"/>
    <w:rsid w:val="00321304"/>
    <w:rsid w:val="00331F84"/>
    <w:rsid w:val="003950A4"/>
    <w:rsid w:val="003E3577"/>
    <w:rsid w:val="003F3A61"/>
    <w:rsid w:val="00410A5D"/>
    <w:rsid w:val="00414909"/>
    <w:rsid w:val="00425A6A"/>
    <w:rsid w:val="00426FBB"/>
    <w:rsid w:val="0047429A"/>
    <w:rsid w:val="0048374C"/>
    <w:rsid w:val="0048771D"/>
    <w:rsid w:val="004A6605"/>
    <w:rsid w:val="004C45FA"/>
    <w:rsid w:val="004E1BD8"/>
    <w:rsid w:val="004E452A"/>
    <w:rsid w:val="004E78E3"/>
    <w:rsid w:val="004F63D3"/>
    <w:rsid w:val="005004BF"/>
    <w:rsid w:val="00502E89"/>
    <w:rsid w:val="00510E95"/>
    <w:rsid w:val="00527D56"/>
    <w:rsid w:val="0053221F"/>
    <w:rsid w:val="00536FAE"/>
    <w:rsid w:val="00542C85"/>
    <w:rsid w:val="00553510"/>
    <w:rsid w:val="00554186"/>
    <w:rsid w:val="00585769"/>
    <w:rsid w:val="00591130"/>
    <w:rsid w:val="005A3F28"/>
    <w:rsid w:val="005A40BE"/>
    <w:rsid w:val="005B13E2"/>
    <w:rsid w:val="005B47D7"/>
    <w:rsid w:val="005C5526"/>
    <w:rsid w:val="005C62C6"/>
    <w:rsid w:val="005D7B9E"/>
    <w:rsid w:val="005F0834"/>
    <w:rsid w:val="005F6DC3"/>
    <w:rsid w:val="00601A8E"/>
    <w:rsid w:val="0062033E"/>
    <w:rsid w:val="00624482"/>
    <w:rsid w:val="0064799C"/>
    <w:rsid w:val="00654156"/>
    <w:rsid w:val="006B47CA"/>
    <w:rsid w:val="006C7AAA"/>
    <w:rsid w:val="006D1C2A"/>
    <w:rsid w:val="006D264F"/>
    <w:rsid w:val="006E2A8D"/>
    <w:rsid w:val="006E7574"/>
    <w:rsid w:val="007005A2"/>
    <w:rsid w:val="00703430"/>
    <w:rsid w:val="007069BE"/>
    <w:rsid w:val="00745C86"/>
    <w:rsid w:val="00764603"/>
    <w:rsid w:val="0076604D"/>
    <w:rsid w:val="00790909"/>
    <w:rsid w:val="007B5A07"/>
    <w:rsid w:val="007D3E71"/>
    <w:rsid w:val="007E5D6A"/>
    <w:rsid w:val="007E645D"/>
    <w:rsid w:val="007F75CA"/>
    <w:rsid w:val="00821E08"/>
    <w:rsid w:val="00834EFD"/>
    <w:rsid w:val="008428F0"/>
    <w:rsid w:val="00844B24"/>
    <w:rsid w:val="0084515F"/>
    <w:rsid w:val="0085092D"/>
    <w:rsid w:val="00877D4C"/>
    <w:rsid w:val="00883903"/>
    <w:rsid w:val="0089763B"/>
    <w:rsid w:val="008B6AE3"/>
    <w:rsid w:val="008D1045"/>
    <w:rsid w:val="008E5996"/>
    <w:rsid w:val="00901AE1"/>
    <w:rsid w:val="009205B4"/>
    <w:rsid w:val="00955B59"/>
    <w:rsid w:val="00992262"/>
    <w:rsid w:val="009926BC"/>
    <w:rsid w:val="009A4319"/>
    <w:rsid w:val="009A6C3F"/>
    <w:rsid w:val="009B73F2"/>
    <w:rsid w:val="009C12BD"/>
    <w:rsid w:val="009C50FE"/>
    <w:rsid w:val="00A00547"/>
    <w:rsid w:val="00A03E75"/>
    <w:rsid w:val="00A32BFA"/>
    <w:rsid w:val="00A45FCE"/>
    <w:rsid w:val="00A75671"/>
    <w:rsid w:val="00A773CC"/>
    <w:rsid w:val="00A9318B"/>
    <w:rsid w:val="00A94AC1"/>
    <w:rsid w:val="00AB18B7"/>
    <w:rsid w:val="00AD335D"/>
    <w:rsid w:val="00AF792B"/>
    <w:rsid w:val="00B33D2F"/>
    <w:rsid w:val="00B55D5E"/>
    <w:rsid w:val="00B56ECE"/>
    <w:rsid w:val="00B713D8"/>
    <w:rsid w:val="00B94516"/>
    <w:rsid w:val="00BB2855"/>
    <w:rsid w:val="00BC5343"/>
    <w:rsid w:val="00BD19C1"/>
    <w:rsid w:val="00BD25B8"/>
    <w:rsid w:val="00C012E1"/>
    <w:rsid w:val="00C06BB4"/>
    <w:rsid w:val="00C10D20"/>
    <w:rsid w:val="00C12E0C"/>
    <w:rsid w:val="00C21916"/>
    <w:rsid w:val="00C457CA"/>
    <w:rsid w:val="00C53FB6"/>
    <w:rsid w:val="00C57FB7"/>
    <w:rsid w:val="00C65F3F"/>
    <w:rsid w:val="00C72414"/>
    <w:rsid w:val="00C8667B"/>
    <w:rsid w:val="00C90993"/>
    <w:rsid w:val="00CA4CE3"/>
    <w:rsid w:val="00CD4F3F"/>
    <w:rsid w:val="00D311F8"/>
    <w:rsid w:val="00D36B52"/>
    <w:rsid w:val="00D377C8"/>
    <w:rsid w:val="00D41274"/>
    <w:rsid w:val="00D43BF3"/>
    <w:rsid w:val="00D767BB"/>
    <w:rsid w:val="00D918CB"/>
    <w:rsid w:val="00D939B0"/>
    <w:rsid w:val="00DA31A2"/>
    <w:rsid w:val="00DB16E0"/>
    <w:rsid w:val="00DB2DF9"/>
    <w:rsid w:val="00DB465D"/>
    <w:rsid w:val="00DB7E63"/>
    <w:rsid w:val="00DC2055"/>
    <w:rsid w:val="00DD71E8"/>
    <w:rsid w:val="00DD7F83"/>
    <w:rsid w:val="00E0641E"/>
    <w:rsid w:val="00E06664"/>
    <w:rsid w:val="00E304BC"/>
    <w:rsid w:val="00E32853"/>
    <w:rsid w:val="00E401F8"/>
    <w:rsid w:val="00E46425"/>
    <w:rsid w:val="00E47D0E"/>
    <w:rsid w:val="00E65018"/>
    <w:rsid w:val="00E94339"/>
    <w:rsid w:val="00E97563"/>
    <w:rsid w:val="00EB0B63"/>
    <w:rsid w:val="00EC265C"/>
    <w:rsid w:val="00ED61CB"/>
    <w:rsid w:val="00F06A72"/>
    <w:rsid w:val="00F136F0"/>
    <w:rsid w:val="00F20BBB"/>
    <w:rsid w:val="00F43BD8"/>
    <w:rsid w:val="00F562F3"/>
    <w:rsid w:val="00F74B89"/>
    <w:rsid w:val="00F75133"/>
    <w:rsid w:val="00F83272"/>
    <w:rsid w:val="00FA3899"/>
    <w:rsid w:val="00FA4909"/>
    <w:rsid w:val="00FA6751"/>
    <w:rsid w:val="00FB1048"/>
    <w:rsid w:val="00FB62C4"/>
    <w:rsid w:val="00FB7701"/>
    <w:rsid w:val="00FD1AC5"/>
    <w:rsid w:val="00FD5C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9267E1"/>
  <w15:chartTrackingRefBased/>
  <w15:docId w15:val="{CB68FF07-E481-504A-9B2E-C235827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AU" w:eastAsia="zh-CN"/>
    </w:rPr>
  </w:style>
  <w:style w:type="paragraph" w:styleId="Heading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F06A72"/>
    <w:pPr>
      <w:keepNext/>
      <w:numPr>
        <w:ilvl w:val="2"/>
        <w:numId w:val="47"/>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7"/>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46"/>
      </w:numPr>
      <w:adjustRightInd w:val="0"/>
      <w:snapToGrid w:val="0"/>
      <w:spacing w:before="180" w:after="60"/>
      <w:ind w:left="289" w:hanging="289"/>
      <w:jc w:val="center"/>
    </w:pPr>
    <w:rPr>
      <w:smallCaps/>
      <w:sz w:val="20"/>
    </w:rPr>
  </w:style>
  <w:style w:type="table" w:styleId="TableGrid">
    <w:name w:val="Table Grid"/>
    <w:basedOn w:val="Table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4"/>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Captio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NoList"/>
    <w:rsid w:val="00955B59"/>
    <w:pPr>
      <w:numPr>
        <w:numId w:val="43"/>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rFonts w:eastAsia="SimSun"/>
      <w:i/>
      <w:szCs w:val="24"/>
      <w:lang w:val="en-AU" w:eastAsia="zh-CN" w:bidi="ar-SA"/>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47"/>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freedigitalphotos.net/images/Television_Video_and_g178-TV_p11678.html"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freedigitalphotos.net/images/Television_Video_and_g178-TV_p11679.html" TargetMode="External"/><Relationship Id="rId11" Type="http://schemas.openxmlformats.org/officeDocument/2006/relationships/theme" Target="theme/theme1.xml"/><Relationship Id="rId5" Type="http://schemas.openxmlformats.org/officeDocument/2006/relationships/image" Target="media/image1.wmf"/><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1540</Words>
  <Characters>8781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IEEE Paper Template in A4 (V1)</vt:lpstr>
    </vt:vector>
  </TitlesOfParts>
  <Company/>
  <LinksUpToDate>false</LinksUpToDate>
  <CharactersWithSpaces>10301</CharactersWithSpaces>
  <SharedDoc>false</SharedDoc>
  <HLinks>
    <vt:vector size="12" baseType="variant">
      <vt:variant>
        <vt:i4>5832732</vt:i4>
      </vt:variant>
      <vt:variant>
        <vt:i4>12</vt:i4>
      </vt:variant>
      <vt:variant>
        <vt:i4>0</vt:i4>
      </vt:variant>
      <vt:variant>
        <vt:i4>5</vt:i4>
      </vt:variant>
      <vt:variant>
        <vt:lpwstr>http://www.freedigitalphotos.net/images/Television_Video_and_g178-TV_p11678.html</vt:lpwstr>
      </vt:variant>
      <vt:variant>
        <vt:lpwstr/>
      </vt:variant>
      <vt:variant>
        <vt:i4>5832733</vt:i4>
      </vt:variant>
      <vt:variant>
        <vt:i4>6</vt:i4>
      </vt:variant>
      <vt:variant>
        <vt:i4>0</vt:i4>
      </vt:variant>
      <vt:variant>
        <vt:i4>5</vt:i4>
      </vt:variant>
      <vt:variant>
        <vt:lpwstr>http://www.freedigitalphotos.net/images/Television_Video_and_g178-TV_p11679.html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Paper Template in A4 (V1)</dc:title>
  <dc:subject/>
  <dc:creator>Causal Productions</dc:creator>
  <cp:keywords/>
  <cp:lastModifiedBy>Dr Shilpi Sharma</cp:lastModifiedBy>
  <cp:revision>2</cp:revision>
  <cp:lastPrinted>2006-09-01T14:48:00Z</cp:lastPrinted>
  <dcterms:created xsi:type="dcterms:W3CDTF">2021-12-08T15:19:00Z</dcterms:created>
  <dcterms:modified xsi:type="dcterms:W3CDTF">2021-12-08T15:19:00Z</dcterms:modified>
</cp:coreProperties>
</file>