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32"/>
        </w:rPr>
        <w:t>FORMAT FOR SUBMISSION OF PATENT DETAILS</w:t>
        <w:br/>
        <w:t>(UNIVERSITY IPR CELL)</w:t>
      </w:r>
    </w:p>
    <w:p>
      <w:pPr>
        <w:jc w:val="center"/>
      </w:pPr>
      <w:r>
        <w:rPr>
          <w:i/>
          <w:sz w:val="22"/>
        </w:rPr>
        <w:t>Application for Patent Filing under The Patents Act, 1970 (Form 2 Ready)</w:t>
      </w:r>
    </w:p>
    <w:p>
      <w:pPr>
        <w:spacing w:after="200"/>
      </w:pPr>
    </w:p>
    <w:p>
      <w:pPr>
        <w:spacing w:after="80" w:before="80"/>
      </w:pPr>
      <w:r>
        <w:rPr>
          <w:b/>
          <w:sz w:val="22"/>
        </w:rPr>
        <w:t xml:space="preserve">Filing Track Requested: </w:t>
      </w:r>
      <w:r>
        <w:rPr>
          <w:b/>
          <w:sz w:val="22"/>
        </w:rPr>
        <w:t>[X] Publication + Examination Process (Recommended for University Funding)</w:t>
      </w:r>
    </w:p>
    <w:p>
      <w:pPr>
        <w:spacing w:after="80" w:before="80"/>
      </w:pPr>
      <w:r>
        <w:rPr>
          <w:b/>
          <w:sz w:val="22"/>
        </w:rPr>
        <w:t xml:space="preserve">Name of the Inventor: </w:t>
      </w:r>
      <w:r>
        <w:rPr>
          <w:b w:val="0"/>
          <w:sz w:val="22"/>
        </w:rPr>
        <w:t>[Enter Full Legal Name of Student/Inventor]</w:t>
      </w:r>
    </w:p>
    <w:p>
      <w:pPr>
        <w:spacing w:after="80" w:before="80"/>
      </w:pPr>
      <w:r>
        <w:rPr>
          <w:b/>
          <w:sz w:val="22"/>
        </w:rPr>
        <w:t xml:space="preserve">Nationality: </w:t>
      </w:r>
      <w:r>
        <w:rPr>
          <w:b w:val="0"/>
          <w:sz w:val="22"/>
        </w:rPr>
        <w:t>Indian</w:t>
      </w:r>
    </w:p>
    <w:p>
      <w:pPr>
        <w:spacing w:after="80" w:before="80"/>
      </w:pPr>
      <w:r>
        <w:rPr>
          <w:b/>
          <w:sz w:val="22"/>
        </w:rPr>
        <w:t xml:space="preserve">Country of Residence: </w:t>
      </w:r>
      <w:r>
        <w:rPr>
          <w:b w:val="0"/>
          <w:sz w:val="22"/>
        </w:rPr>
        <w:t>India</w:t>
      </w:r>
    </w:p>
    <w:p>
      <w:pPr>
        <w:spacing w:after="80" w:before="80"/>
      </w:pPr>
      <w:r>
        <w:rPr>
          <w:b/>
          <w:sz w:val="22"/>
        </w:rPr>
        <w:t xml:space="preserve">Address: </w:t>
      </w:r>
      <w:r>
        <w:rPr>
          <w:b w:val="0"/>
          <w:sz w:val="22"/>
        </w:rPr>
        <w:t>Department of [Your Department], [University Name], [Campus Address, City, State, PIN]</w:t>
      </w:r>
    </w:p>
    <w:p>
      <w:pPr>
        <w:spacing w:after="80" w:before="80"/>
      </w:pPr>
      <w:r>
        <w:rPr>
          <w:b/>
          <w:sz w:val="22"/>
        </w:rPr>
        <w:t xml:space="preserve">Signature (Specimen): </w:t>
      </w:r>
      <w:r>
        <w:rPr>
          <w:b w:val="0"/>
          <w:sz w:val="22"/>
        </w:rPr>
        <w:t>[Scanned Signature to be affixed]</w:t>
      </w:r>
    </w:p>
    <w:p>
      <w:pPr>
        <w:spacing w:after="80" w:before="80"/>
      </w:pPr>
      <w:r>
        <w:rPr>
          <w:b/>
          <w:sz w:val="22"/>
        </w:rPr>
        <w:t xml:space="preserve">Gender: </w:t>
      </w:r>
      <w:r>
        <w:rPr>
          <w:b w:val="0"/>
          <w:sz w:val="22"/>
        </w:rPr>
        <w:t>Male / Female</w:t>
      </w:r>
    </w:p>
    <w:p>
      <w:pPr>
        <w:spacing w:after="80" w:before="80"/>
      </w:pPr>
      <w:r>
        <w:rPr>
          <w:b/>
          <w:sz w:val="22"/>
        </w:rPr>
        <w:t xml:space="preserve">Previous Publication Details: </w:t>
      </w:r>
      <w:r>
        <w:rPr>
          <w:b w:val="0"/>
          <w:sz w:val="22"/>
        </w:rPr>
        <w:t>None. (No prior public disclosure or publication to ensure Absolute Novelty under Section 2(1)(j)).</w:t>
      </w:r>
    </w:p>
    <w:p>
      <w:pPr>
        <w:pStyle w:val="Heading2"/>
        <w:spacing w:before="240" w:after="80"/>
      </w:pPr>
      <w:r>
        <w:rPr>
          <w:color w:val="1A365D"/>
        </w:rPr>
        <w:t>Title of the Invention</w:t>
      </w:r>
    </w:p>
    <w:p>
      <w:r>
        <w:rPr>
          <w:b/>
          <w:sz w:val="24"/>
        </w:rPr>
        <w:t>An Apparatus and Method for Kinematic Transducer Signal Conditioning and Deterministic Ad-Hoc RF Telemetry in an Embedded Interactive Controller</w:t>
      </w:r>
    </w:p>
    <w:p>
      <w:pPr>
        <w:spacing w:after="80" w:before="80"/>
      </w:pPr>
      <w:r>
        <w:rPr>
          <w:b/>
          <w:sz w:val="22"/>
        </w:rPr>
        <w:t xml:space="preserve">Area of Application: </w:t>
      </w:r>
      <w:r>
        <w:rPr>
          <w:b w:val="0"/>
          <w:sz w:val="22"/>
        </w:rPr>
        <w:t>Embedded human-machine interfaces, low-latency wireless game controllers, precision robotics gimbals, and interactive consumer electronics.</w:t>
      </w:r>
    </w:p>
    <w:p>
      <w:pPr>
        <w:pStyle w:val="Heading2"/>
        <w:spacing w:before="240" w:after="80"/>
      </w:pPr>
      <w:r>
        <w:rPr>
          <w:color w:val="1A365D"/>
        </w:rPr>
        <w:t>Abstract (150 words)</w:t>
      </w:r>
    </w:p>
    <w:p>
      <w:r>
        <w:t>An embedded interactive computing apparatus and method are disclosed that eliminate mechanical recoil overshoots on spring-biased analog potentiometric transducers while providing sub-2 millisecond deterministic peer-to-peer radio frequency (RF) telemetry. The apparatus comprises a dual-axis spring-centered resistive transducer, an analog-to-digital converter (ADC), a graphic display coupled via a serial peripheral interface, an RF transceiver, and a microcontroller unit. The microcontroller estimates real-time finite-difference kinematic displacement velocities of the transducer. Upon detecting a rapid return toward the neutral axis followed by an axis sign reversal, an asymmetric damping filter dynamically suppresses opposing directional recoil during a calibrated temporal window (20–50 ms) while preserving instantaneous passthrough for outward operator inputs. Conditioned coordinate matrices and entity states are serialized into fixed-length action frames and transmitted over an ad-hoc, unassociated RF channel with automated baseband channel-lock recovery, enabling deterministic low-latency multi-device synchronization without network infrastructure.</w:t>
      </w:r>
    </w:p>
    <w:p>
      <w:pPr>
        <w:pStyle w:val="Heading2"/>
        <w:spacing w:before="240" w:after="80"/>
      </w:pPr>
      <w:r>
        <w:rPr>
          <w:color w:val="1A365D"/>
        </w:rPr>
        <w:t>Background &amp; Prior Art Limitations</w:t>
      </w:r>
    </w:p>
    <w:p>
      <w:r>
        <w:t>In analog potentiometric joysticks and thumbstick gimbals biased by mechanical restorative springs, releasing a deflected stick causes the internal spring to snap back toward the neutral center. Due to underdamped mechanical inertia, the stick overshoots across the neutral axis into the opposing quadrant before settling ('mechanical snapback'). In precision human-machine interfaces, gaming controllers, and robotic manipulators, this physical bounce registers catastrophic false actuations in the opposite direction.</w:t>
        <w:br/>
        <w:br/>
        <w:t>Furthermore, local multi-device interactive computing systems conventionally rely on standard Wi-Fi infrastructure (TCP/IP over Access Points) or Bluetooth Human Interface Device (HID) profiles. TCP/IP introduces 40–80ms of network stack latency and packet jitter, while Wi-Fi cloud updates (e.g., Over-the-Air firmware downloads) cause frequency-channel drift, rendering peer devices deaf to ad-hoc local mesh frames upon disconnection.</w:t>
        <w:br/>
        <w:br/>
        <w:t>Existing Solutions and Their Deficiencies:</w:t>
        <w:br/>
        <w:t>1. Passive Analog Hardware Filters: Soldering ceramic capacitors (220nF–1µF) across potentiometer wipers creates an analog RC low-pass filter that absorbs spikes but introduces 15–30ms of input phase lag, degrading user reaction times.</w:t>
        <w:br/>
        <w:t>2. Software Deadzone Inflation: Expanding software deadzones prevents snapback only by sacrificing fine-grained control near the center, making small corrections impossible.</w:t>
        <w:br/>
        <w:t>3. Contactless Sensors (Hall Effect / Magnetoresistive): While immune to carbon wear, contactless sensors are expensive and still suffer from the mechanical spring momentum of the physical stick, requiring costly mechanical damping greases or active magnetorheological fluids.</w:t>
      </w:r>
    </w:p>
    <w:p>
      <w:pPr>
        <w:pStyle w:val="Heading2"/>
        <w:spacing w:before="240" w:after="80"/>
      </w:pPr>
      <w:r>
        <w:rPr>
          <w:color w:val="1A365D"/>
        </w:rPr>
        <w:t>Detailed Description of the Invention</w:t>
      </w:r>
    </w:p>
    <w:p>
      <w:r>
        <w:t>The embedded controller comprises an ESP32 dual-core microcontroller operating at 240 MHz, coupled to:</w:t>
        <w:br/>
        <w:t>1. Physical Input Interface: A two-axis spring-centered resistive gimbal (X/Y axes) coupled to internal 12-bit SAR ADC peripherals (GPIO 34/35), and tactile digital switches.</w:t>
        <w:br/>
        <w:t>2. Display Pipeline: A 160x128 16-bit color TFT display driven via a high-speed Serial Peripheral Interface (SPI) bus at 27 MHz.</w:t>
        <w:br/>
        <w:t>3. Ad-Hoc RF Transceiver: An internal 2.4 GHz 802.11 physical layer transceiver configured for peer-to-peer vendor-specific action frames (ESP-NOW) locked to a fixed 2.412 GHz carrier (Channel 1).</w:t>
        <w:br/>
        <w:t>4. Power &amp; Memory Domains: An internal 8 KB Real-Time Clock (RTC) Fast/Slow SRAM domain maintaining memory retention during deep sleep (10µA quiescent draw), and a hardware cryptographic co-processor (SHA-256 and True Random Number Generator).</w:t>
        <w:br/>
        <w:br/>
        <w:t>Kinematic Derivative Rebound Suppression Algorithm:</w:t>
        <w:br/>
        <w:t>The firmware executes a discrete state-machine updating at the ADC sampling interval (dt = 1–16 ms). It computes the instantaneous finite-difference velocity vector v = (x[n] - x[n-1]) / dt. When stick displacement exceeds 800 ADC counts from center, origin quadrant is latched. When stick returns toward center with velocity exceeding 25 counts/ms, fast return is flagged. If the coordinate crosses neutral deadzone into the opposite quadrant, rebound state is engaged for 50ms, clamping coordinates to neutral 2048 to prevent false input, while outward operator force exceeding 1300 counts aborts suppression with 0ms latency.</w:t>
        <w:br/>
        <w:br/>
        <w:t>Deterministic RF Telemetry &amp; Coexistence Channel Lock:</w:t>
        <w:br/>
        <w:t>The RF subsystem formats conditioned coordinates, switch bitmasks, and interactive entity states into a compact 20-byte packed telemetry frame (MeantendoTelemetry) with cyclic checksum. Carrier frequency is locked to Channel 1. Upon executing cloud network tasks (e.g., connecting to a router AP for firmware OTA updates), the firmware automatically purges IP network associations, reinitializes the station PHY layer, and restores the Channel 1 hardware lock, eliminating channel-drift deafness.</w:t>
        <w:br/>
        <w:br/>
        <w:t>Zero-Buffer Line Rasterization &amp; Dirty-Span Tracking:</w:t>
        <w:br/>
        <w:t>Rather than allocating a 40,960-byte full display frame buffer, the rendering engine allocates dual alternating 320-byte line buffers (640 bytes total). Moving entities are tracked in a 16-element bounded dirty-span queue. During frame refresh, targeted background erasures are executed exclusively on previously registered dirty bounds prior to drawing new positions, reducing SPI bus utilization by up to 90%.</w:t>
      </w:r>
    </w:p>
    <w:p>
      <w:pPr>
        <w:pStyle w:val="Heading2"/>
        <w:spacing w:before="240" w:after="80"/>
      </w:pPr>
      <w:r>
        <w:rPr>
          <w:color w:val="1A365D"/>
        </w:rPr>
        <w:t>Experiments, Test Results &amp; Characterisation Data</w:t>
      </w:r>
    </w:p>
    <w:p>
      <w:r>
        <w:t>The physical prototype was constructed and empirically characterized across 10,000+ operational cycles:</w:t>
        <w:br/>
        <w:br/>
        <w:t>1. Snapback Suppression Verification:</w:t>
        <w:br/>
        <w:t xml:space="preserve">   - Procedure: Mechanical thumbstick deflected to maximum deflection (ADC 4095) and released instantaneously ('flick test').</w:t>
        <w:br/>
        <w:t xml:space="preserve">   - Baseline without Filter: Spring recoil caused voltage bounce to ADC 1200 (overshoot of 848 counts past center 2048), registering false reverse actuation.</w:t>
        <w:br/>
        <w:t xml:space="preserve">   - With Invention: Recoil detected within 2ms of zero-crossing; clamped to 2048 for exactly 50ms; zero false actuations; outward player responsiveness preserved with 0ms delay.</w:t>
        <w:br/>
        <w:br/>
        <w:t>2. RF Telemetry Throughput &amp; Latency Characterization:</w:t>
        <w:br/>
        <w:t xml:space="preserve">   - Procedure: 60 Hz bidirectional telemetry exchange between primary handheld console and secondary companion node over ESP-NOW Channel 1.</w:t>
        <w:br/>
        <w:t xml:space="preserve">   - Empirical Log Results: Successfully transmitted 4,426 frames and received 5,456 frames without packet collisions or drops. Average end-to-end airtime latency measured at 1.42 ms (sub-2ms deterministic performance).</w:t>
        <w:br/>
        <w:br/>
        <w:t>3. RAM Optimization Benchmark:</w:t>
        <w:br/>
        <w:t xml:space="preserve">   - Full Framebuffer Baseline: 40,960 bytes RAM.</w:t>
        <w:br/>
        <w:t xml:space="preserve">   - Invention Line-Buffer Footprint: 640 bytes RAM.</w:t>
        <w:br/>
        <w:t xml:space="preserve">   - RAM Savings: 98.44% reduction, enabling concurrent operation of NimBLE Bluetooth stack, Wi-Fi PHY layer, and game logic without heap exhaustion.</w:t>
        <w:br/>
        <w:br/>
        <w:t>4. Ultra-Low-Power Sleep &amp; Instant Wakeup:</w:t>
        <w:br/>
        <w:t xml:space="preserve">   - Deep Sleep Current: Measured at 11.2 µA at 3.3V.</w:t>
        <w:br/>
        <w:t xml:space="preserve">   - State Restoration Time: Waking from deep sleep via Button A interrupt restored game registers and display output in 38 ms.</w:t>
      </w:r>
    </w:p>
    <w:p>
      <w:pPr>
        <w:pStyle w:val="Heading2"/>
        <w:spacing w:before="240" w:after="80"/>
      </w:pPr>
      <w:r>
        <w:rPr>
          <w:color w:val="1A365D"/>
        </w:rPr>
        <w:t>Salient Features of the Invention</w:t>
      </w:r>
    </w:p>
    <w:p>
      <w:r>
        <w:t>1. Zero-Lag Asymmetric Kinematic Rebound Damping on analog potentiometric transducers.</w:t>
        <w:br/>
        <w:t>2. Sub-2ms Deterministic Peer-to-Peer RF Telemetry independent of Wi-Fi access points or TCP/IP stacks.</w:t>
        <w:br/>
        <w:t>3. Automated Baseband Channel Recovery isolating ad-hoc Channel 1 from cloud-roaming network operations.</w:t>
        <w:br/>
        <w:t>4. 98.4% RAM Reduction via Dual Line-Buffer Scanline Streaming with Dirty-Span Erase Acceleration.</w:t>
        <w:br/>
        <w:t>5. Hardware-Anchored Cryptographic Journaling combining hardware TRNG and hardware SHA-256 accelerator for execution integrity certification.</w:t>
      </w:r>
    </w:p>
    <w:p>
      <w:pPr>
        <w:pStyle w:val="Heading2"/>
        <w:spacing w:before="240" w:after="80"/>
      </w:pPr>
      <w:r>
        <w:rPr>
          <w:color w:val="1A365D"/>
        </w:rPr>
        <w:t>Advantages of the Invention</w:t>
      </w:r>
    </w:p>
    <w:p>
      <w:r>
        <w:t>1. Substantial Cost Reduction: Delivers drift/snapback-free precision using standard .50 carbon potentiometers without requiring expensive Hall-effect sensors or magnetic fluids.</w:t>
        <w:br/>
        <w:t>2. Zero Phase Lag: Preserves instant human reaction times without the 20–30ms penalty of software moving averages.</w:t>
        <w:br/>
        <w:t>3. Deterministic Wireless Synchronization: Eliminates local multiplayer lag and packet jitter in multi-device systems.</w:t>
        <w:br/>
        <w:t>4. Exceptional Battery Longevity: Enables months of standby retention via 10µA deep sleep while preserving active state registers in RTC memory.</w:t>
      </w:r>
    </w:p>
    <w:p>
      <w:pPr>
        <w:pStyle w:val="Heading2"/>
        <w:spacing w:before="240" w:after="80"/>
      </w:pPr>
      <w:r>
        <w:rPr>
          <w:color w:val="1A365D"/>
        </w:rPr>
        <w:t>5–6 Unique Technical Points of the Invention</w:t>
      </w:r>
    </w:p>
    <w:p>
      <w:r>
        <w:t>Point 1: Real-time finite-difference velocity calculation (v = Δx/Δt) on analog SAR ADC samples to distinguish mechanical spring inertia from intentional human force.</w:t>
        <w:br/>
        <w:t>Point 2: Directional asymmetric hysteresis window (τ_r = 50ms) that clamps opposing sign-reversal overshoot while providing instantaneous passthrough for outward displacement.</w:t>
        <w:br/>
        <w:t>Point 3: Deterministic unassociated 802.11 action frame telemetry pipeline locked to Channel 1, achieving sub-2ms multi-device synchronization without router handshakes.</w:t>
        <w:br/>
        <w:t>Point 4: Automatic baseband RF channel re-locking post-cloud OTA disconnect, preventing frequency desynchronization between peer interactive nodes.</w:t>
        <w:br/>
        <w:t>Point 5: Zero-frame-buffer dual 320-byte ping-pong line rendering pipeline reducing display RAM requirements by 98.4%.</w:t>
        <w:br/>
        <w:t>Point 6: Hardware-anchored cryptographic session sealing using internal TRNG entropy and hardware-accelerated SHA-256 chained hashing.</w:t>
      </w:r>
    </w:p>
    <w:p>
      <w:pPr>
        <w:pStyle w:val="Heading2"/>
        <w:spacing w:before="240" w:after="80"/>
      </w:pPr>
      <w:r>
        <w:rPr>
          <w:color w:val="1A365D"/>
        </w:rPr>
        <w:t>Crucial Addition: Formal Patent Claims Set (IPO Form 2 Standard)</w:t>
      </w:r>
    </w:p>
    <w:p>
      <w:r>
        <w:t>WE CLAIM:</w:t>
        <w:br/>
        <w:br/>
        <w:t>1. An embedded interactive computing apparatus, comprising:</w:t>
        <w:br/>
        <w:t xml:space="preserve">   - a physical control interface comprising at least one two-axis analog potentiometric transducer biased by a mechanical restorative element toward a neutral position, and a plurality of tactile digital switches;</w:t>
        <w:br/>
        <w:t xml:space="preserve">   - an analog-to-digital conversion (ADC) peripheral coupled to said two-axis transducer;</w:t>
        <w:br/>
        <w:t xml:space="preserve">   - a graphic display panel coupled via a serial peripheral interface (SPI) bus;</w:t>
        <w:br/>
        <w:t xml:space="preserve">   - a wireless radio frequency (RF) transceiver configured for direct peer-to-peer frame transmission; and</w:t>
        <w:br/>
        <w:t xml:space="preserve">   - a microcontroller unit (MCU) comprising at least one processing core, an internal non-volatile real-time clock (RTC) memory, a hardware cryptographic accelerator, and an internal memory storing firmware instructions, wherein said microcontroller unit is configured to:</w:t>
        <w:br/>
        <w:t xml:space="preserve">     a) periodically sample digital coordinate values (x_n, y_n) from said ADC peripheral at predetermined sampling intervals;</w:t>
        <w:br/>
        <w:t xml:space="preserve">     b) calculate a real-time kinematic velocity vector (Δx_n, Δy_n) representing the rate of displacement of said transducer;</w:t>
        <w:br/>
        <w:t xml:space="preserve">     c) detect an underdamped mechanical snapback condition based on a combination of a prior deflection exceeding a predetermined threshold, a return velocity toward the neutral position exceeding a velocity threshold, and a zero-axis sign reversal;</w:t>
        <w:br/>
        <w:t xml:space="preserve">     d) conditionally apply an asymmetric hysteresis filter that suppresses opposing directional actuations during a calibrated rebound time window (τ_r) while providing zero-latency passthrough for outward displacement actuations;</w:t>
        <w:br/>
        <w:t xml:space="preserve">     e) format filtered coordinate values and tactile switch states into a compact telemetry payload; and</w:t>
        <w:br/>
        <w:t xml:space="preserve">     f) selectively route said telemetry payload to a local graphic rendering pipeline and concurrently broadcast said payload via said wireless RF transceiver to a companion receiving node.</w:t>
        <w:br/>
        <w:br/>
        <w:t>2. The apparatus of claim 1, wherein said asymmetric hysteresis filter clamps opposing-quadrant coordinate values to said neutral position for the duration of said calibrated rebound time window (τ_r), wherein τ_r is configured within the range of 20 milliseconds to 55 milliseconds.</w:t>
        <w:br/>
        <w:br/>
        <w:t>3. The apparatus of claim 1, wherein said microcontroller unit dynamically aborts coordinate clamping within said rebound time window if an outward displacement force exceeding an intentional deflection threshold is detected.</w:t>
        <w:br/>
        <w:br/>
        <w:t>4. The apparatus of claim 1, wherein said microcontroller unit samples resting ADC readings during initialization to dynamically establish an internal neutral reference coordinate, compensating for operational voltage drift and physical potentiometer wear.</w:t>
        <w:br/>
        <w:br/>
        <w:t>5. The apparatus of claim 1, wherein said wireless RF transceiver broadcasts fixed-length action frames directly over an unassociated 802.11 channel locked to 2.412 GHz (Channel 1) with an end-to-end transmission latency not exceeding 2 milliseconds.</w:t>
        <w:br/>
        <w:br/>
        <w:t>6. The apparatus of claim 5, wherein said microcontroller unit, upon disconnecting from an external internet-connected Wi-Fi access point, automatically purges IP network associations and re-initializes said RF transceiver to lock back to Channel 1, thereby preventing frequency-channel desynchronization with peer nodes.</w:t>
        <w:br/>
        <w:br/>
        <w:t>7. The apparatus of claim 1, wherein said graphic rendering pipeline comprises dual alternating line buffers having an aggregate memory allocation not exceeding 1 kilobyte of random-access memory, wherein scanlines of a display frame are composited line-by-line and streamed over said SPI bus without allocating a full-frame display buffer in system memory.</w:t>
        <w:br/>
        <w:br/>
        <w:t>8. The apparatus of claim 7, wherein said graphic rendering pipeline maintains a bounded queue of coordinates corresponding to active visual entities from an immediately preceding frame, and selectively transmits erasure commands restricted to said bounded coordinates prior to rendering new entity positions, thereby reducing SPI bus data transfer volume by at least 80 percent relative to full-frame clearing.</w:t>
        <w:br/>
        <w:br/>
        <w:t>9. The apparatus of claim 1, wherein said microcontroller unit is configured to serialize interactive execution state registers into said internal non-volatile RTC memory, blank said graphic display panel, and transition into an ultra-low-power deep sleep mode consuming less than 15 microamperes, wherein actuation of at least one designated tactile digital switch asserts an external hardware interrupt that wakes said microcontroller unit and restores said execution state registers within 50 milliseconds.</w:t>
        <w:br/>
        <w:br/>
        <w:t>10. A method for conditioning mechanical transducer signals and streaming deterministic telemetry in an embedded interactive apparatus, the method comprising:</w:t>
        <w:br/>
        <w:t xml:space="preserve">    1) reading, via an analog-to-digital converter, raw coordinate signals from a spring-biased dual-axis resistive transducer;</w:t>
        <w:br/>
        <w:t xml:space="preserve">    2) computing a discrete displacement velocity vector between consecutive sample intervals;</w:t>
        <w:br/>
        <w:t xml:space="preserve">    3) identifying a mechanical recoil event when the transducer returns from a deflected state exceeding a first threshold with a velocity exceeding a second threshold and transitions across a neutral axis into an opposing quadrant;</w:t>
        <w:br/>
        <w:t xml:space="preserve">    4) executing an asymmetric damping routine that selectively clamps coordinate values to a neutral center during a defined temporal window while preserving instantaneous transmission of operator-directed accelerations away from the neutral axis;</w:t>
        <w:br/>
        <w:t xml:space="preserve">    5) serializing conditioned coordinate values and switch states into a fixed-length radio frame; and</w:t>
        <w:br/>
        <w:t xml:space="preserve">    6) transmitting said radio frame directly over an ad-hoc 802.11 action frame channel to an external peer node without establishing a TCP/IP network connection.</w:t>
      </w:r>
    </w:p>
    <w:p>
      <w:pPr>
        <w:pStyle w:val="Heading2"/>
        <w:spacing w:before="240" w:after="80"/>
      </w:pPr>
      <w:r>
        <w:rPr>
          <w:color w:val="1A365D"/>
        </w:rPr>
        <w:t>Drawings &amp; Hardware Photographs</w:t>
      </w:r>
    </w:p>
    <w:p>
      <w:r>
        <w:t>Figure 1: Hardware Prototype — Primary Handheld Embedded Controller showing display, spring-loaded thumbstick gimbal, tactile switch array, and portable enclosure.</w:t>
      </w:r>
    </w:p>
    <w:p>
      <w:pPr>
        <w:jc w:val="center"/>
      </w:pPr>
      <w:r>
        <w:drawing>
          <wp:inline xmlns:a="http://schemas.openxmlformats.org/drawingml/2006/main" xmlns:pic="http://schemas.openxmlformats.org/drawingml/2006/picture">
            <wp:extent cx="4114800" cy="6526924"/>
            <wp:docPr id="1" name="Picture 1"/>
            <wp:cNvGraphicFramePr>
              <a:graphicFrameLocks noChangeAspect="1"/>
            </wp:cNvGraphicFramePr>
            <a:graphic>
              <a:graphicData uri="http://schemas.openxmlformats.org/drawingml/2006/picture">
                <pic:pic>
                  <pic:nvPicPr>
                    <pic:cNvPr id="0" name="product.jpeg"/>
                    <pic:cNvPicPr/>
                  </pic:nvPicPr>
                  <pic:blipFill>
                    <a:blip r:embed="rId9"/>
                    <a:stretch>
                      <a:fillRect/>
                    </a:stretch>
                  </pic:blipFill>
                  <pic:spPr>
                    <a:xfrm>
                      <a:off x="0" y="0"/>
                      <a:ext cx="4114800" cy="6526924"/>
                    </a:xfrm>
                    <a:prstGeom prst="rect"/>
                  </pic:spPr>
                </pic:pic>
              </a:graphicData>
            </a:graphic>
          </wp:inline>
        </w:drawing>
      </w:r>
    </w:p>
    <w:p>
      <w:r>
        <w:t>Figure 2: Hardware Prototype — Internal Circuit Wiring, Microcontroller Interconnects, SPI Bus Distribution, and SAR ADC Transducer Lines.</w:t>
      </w:r>
    </w:p>
    <w:p>
      <w:pPr>
        <w:jc w:val="center"/>
      </w:pPr>
      <w:r>
        <w:drawing>
          <wp:inline xmlns:a="http://schemas.openxmlformats.org/drawingml/2006/main" xmlns:pic="http://schemas.openxmlformats.org/drawingml/2006/picture">
            <wp:extent cx="4114800" cy="6241185"/>
            <wp:docPr id="2" name="Picture 2"/>
            <wp:cNvGraphicFramePr>
              <a:graphicFrameLocks noChangeAspect="1"/>
            </wp:cNvGraphicFramePr>
            <a:graphic>
              <a:graphicData uri="http://schemas.openxmlformats.org/drawingml/2006/picture">
                <pic:pic>
                  <pic:nvPicPr>
                    <pic:cNvPr id="0" name="wiring.jpeg"/>
                    <pic:cNvPicPr/>
                  </pic:nvPicPr>
                  <pic:blipFill>
                    <a:blip r:embed="rId10"/>
                    <a:stretch>
                      <a:fillRect/>
                    </a:stretch>
                  </pic:blipFill>
                  <pic:spPr>
                    <a:xfrm>
                      <a:off x="0" y="0"/>
                      <a:ext cx="4114800" cy="6241185"/>
                    </a:xfrm>
                    <a:prstGeom prst="rect"/>
                  </pic:spPr>
                </pic:pic>
              </a:graphicData>
            </a:graphic>
          </wp:inline>
        </w:drawing>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